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48" w:type="pct"/>
        <w:tblCellMar>
          <w:left w:w="0" w:type="dxa"/>
          <w:right w:w="0" w:type="dxa"/>
        </w:tblCellMar>
        <w:tblLook w:val="0000" w:firstRow="0" w:lastRow="0" w:firstColumn="0" w:lastColumn="0" w:noHBand="0" w:noVBand="0"/>
      </w:tblPr>
      <w:tblGrid>
        <w:gridCol w:w="5103"/>
        <w:gridCol w:w="4962"/>
      </w:tblGrid>
      <w:tr w:rsidR="002D77DB" w:rsidRPr="004E51D1" w14:paraId="5BA29483" w14:textId="77777777" w:rsidTr="002D77DB">
        <w:trPr>
          <w:trHeight w:val="2897"/>
        </w:trPr>
        <w:tc>
          <w:tcPr>
            <w:tcW w:w="2535" w:type="pct"/>
          </w:tcPr>
          <w:p w14:paraId="6E060898" w14:textId="77777777" w:rsidR="002D77DB" w:rsidRPr="00C808B5" w:rsidRDefault="002D77DB" w:rsidP="003D237E">
            <w:pPr>
              <w:pStyle w:val="a3"/>
              <w:ind w:left="318"/>
              <w:rPr>
                <w:rFonts w:ascii="Times New Roman" w:hAnsi="Times New Roman"/>
                <w:szCs w:val="28"/>
              </w:rPr>
            </w:pPr>
          </w:p>
        </w:tc>
        <w:tc>
          <w:tcPr>
            <w:tcW w:w="2465" w:type="pct"/>
          </w:tcPr>
          <w:p w14:paraId="788499C3" w14:textId="77777777" w:rsidR="002D77DB" w:rsidRPr="004E51D1" w:rsidRDefault="002D77DB" w:rsidP="002D77DB">
            <w:pPr>
              <w:widowControl w:val="0"/>
              <w:ind w:left="151"/>
              <w:rPr>
                <w:b/>
                <w:snapToGrid w:val="0"/>
                <w:sz w:val="28"/>
                <w:szCs w:val="28"/>
              </w:rPr>
            </w:pPr>
            <w:r w:rsidRPr="004E51D1">
              <w:rPr>
                <w:b/>
                <w:snapToGrid w:val="0"/>
                <w:sz w:val="28"/>
                <w:szCs w:val="28"/>
              </w:rPr>
              <w:t>УТВЕРЖДЕНА</w:t>
            </w:r>
          </w:p>
          <w:p w14:paraId="120BD96F" w14:textId="77777777" w:rsidR="002D77DB" w:rsidRPr="004E51D1" w:rsidRDefault="002D77DB" w:rsidP="002D77DB">
            <w:pPr>
              <w:autoSpaceDE w:val="0"/>
              <w:autoSpaceDN w:val="0"/>
              <w:ind w:left="151"/>
              <w:rPr>
                <w:sz w:val="28"/>
                <w:szCs w:val="28"/>
              </w:rPr>
            </w:pPr>
            <w:r w:rsidRPr="004E51D1">
              <w:rPr>
                <w:sz w:val="28"/>
                <w:szCs w:val="28"/>
              </w:rPr>
              <w:t xml:space="preserve">Приказом Председателя </w:t>
            </w:r>
          </w:p>
          <w:p w14:paraId="6BA13A15" w14:textId="77777777" w:rsidR="002D77DB" w:rsidRPr="004E51D1" w:rsidRDefault="002D77DB" w:rsidP="002D77DB">
            <w:pPr>
              <w:autoSpaceDE w:val="0"/>
              <w:autoSpaceDN w:val="0"/>
              <w:ind w:left="151"/>
              <w:rPr>
                <w:sz w:val="28"/>
                <w:szCs w:val="28"/>
              </w:rPr>
            </w:pPr>
            <w:r w:rsidRPr="004E51D1">
              <w:rPr>
                <w:sz w:val="28"/>
                <w:szCs w:val="28"/>
              </w:rPr>
              <w:t>РГУ «Комитет медицинского и фармацевтического контроля»</w:t>
            </w:r>
          </w:p>
          <w:p w14:paraId="233E31C4" w14:textId="77777777" w:rsidR="002D77DB" w:rsidRPr="004E51D1" w:rsidRDefault="002D77DB" w:rsidP="002D77DB">
            <w:pPr>
              <w:keepNext/>
              <w:autoSpaceDE w:val="0"/>
              <w:autoSpaceDN w:val="0"/>
              <w:ind w:left="151"/>
              <w:outlineLvl w:val="2"/>
              <w:rPr>
                <w:bCs/>
                <w:sz w:val="28"/>
                <w:szCs w:val="28"/>
                <w:lang w:val="uk-UA"/>
              </w:rPr>
            </w:pPr>
            <w:r w:rsidRPr="004E51D1">
              <w:rPr>
                <w:bCs/>
                <w:sz w:val="28"/>
                <w:szCs w:val="28"/>
              </w:rPr>
              <w:t>Министерства здравоохранения</w:t>
            </w:r>
            <w:r w:rsidRPr="004E51D1">
              <w:rPr>
                <w:bCs/>
                <w:sz w:val="28"/>
                <w:szCs w:val="28"/>
                <w:lang w:val="uk-UA"/>
              </w:rPr>
              <w:t xml:space="preserve"> </w:t>
            </w:r>
          </w:p>
          <w:p w14:paraId="2407E2AE" w14:textId="77777777" w:rsidR="002D77DB" w:rsidRPr="004E51D1" w:rsidRDefault="002D77DB" w:rsidP="002D77DB">
            <w:pPr>
              <w:keepNext/>
              <w:autoSpaceDE w:val="0"/>
              <w:autoSpaceDN w:val="0"/>
              <w:ind w:left="151"/>
              <w:outlineLvl w:val="3"/>
              <w:rPr>
                <w:bCs/>
                <w:sz w:val="28"/>
                <w:szCs w:val="28"/>
              </w:rPr>
            </w:pPr>
            <w:r w:rsidRPr="004E51D1">
              <w:rPr>
                <w:bCs/>
                <w:sz w:val="28"/>
                <w:szCs w:val="28"/>
              </w:rPr>
              <w:t>Республики Казахстан</w:t>
            </w:r>
          </w:p>
          <w:p w14:paraId="5D8FE2B5" w14:textId="4D01103E" w:rsidR="002D77DB" w:rsidRPr="004E51D1" w:rsidRDefault="002D77DB" w:rsidP="002D77DB">
            <w:pPr>
              <w:autoSpaceDE w:val="0"/>
              <w:autoSpaceDN w:val="0"/>
              <w:ind w:left="151"/>
              <w:rPr>
                <w:sz w:val="28"/>
                <w:szCs w:val="28"/>
              </w:rPr>
            </w:pPr>
            <w:r w:rsidRPr="004E51D1">
              <w:rPr>
                <w:sz w:val="28"/>
                <w:szCs w:val="28"/>
              </w:rPr>
              <w:t>от «</w:t>
            </w:r>
            <w:proofErr w:type="gramStart"/>
            <w:r w:rsidR="006261FA">
              <w:rPr>
                <w:sz w:val="28"/>
                <w:szCs w:val="28"/>
                <w:lang w:val="en-US"/>
              </w:rPr>
              <w:t>08</w:t>
            </w:r>
            <w:r w:rsidRPr="004E51D1">
              <w:rPr>
                <w:sz w:val="28"/>
                <w:szCs w:val="28"/>
              </w:rPr>
              <w:t>»</w:t>
            </w:r>
            <w:r w:rsidR="006261FA">
              <w:rPr>
                <w:sz w:val="28"/>
                <w:szCs w:val="28"/>
                <w:lang w:val="en-US"/>
              </w:rPr>
              <w:t xml:space="preserve">  05</w:t>
            </w:r>
            <w:proofErr w:type="gramEnd"/>
            <w:r w:rsidR="006261FA">
              <w:rPr>
                <w:sz w:val="28"/>
                <w:szCs w:val="28"/>
                <w:lang w:val="en-US"/>
              </w:rPr>
              <w:t xml:space="preserve">   </w:t>
            </w:r>
            <w:r w:rsidRPr="004E51D1">
              <w:rPr>
                <w:sz w:val="28"/>
                <w:szCs w:val="28"/>
              </w:rPr>
              <w:t>20</w:t>
            </w:r>
            <w:r w:rsidR="006261FA">
              <w:rPr>
                <w:sz w:val="28"/>
                <w:szCs w:val="28"/>
                <w:lang w:val="en-US"/>
              </w:rPr>
              <w:t xml:space="preserve">25 </w:t>
            </w:r>
            <w:r w:rsidRPr="004E51D1">
              <w:rPr>
                <w:sz w:val="28"/>
                <w:szCs w:val="28"/>
              </w:rPr>
              <w:t>г.</w:t>
            </w:r>
          </w:p>
          <w:p w14:paraId="73F92E1D" w14:textId="3E0EF379" w:rsidR="002D77DB" w:rsidRPr="006261FA" w:rsidRDefault="002D77DB" w:rsidP="002D77DB">
            <w:pPr>
              <w:pStyle w:val="a3"/>
              <w:ind w:left="151"/>
              <w:rPr>
                <w:rFonts w:ascii="Times New Roman" w:hAnsi="Times New Roman"/>
                <w:snapToGrid w:val="0"/>
                <w:szCs w:val="28"/>
                <w:lang w:val="en-US"/>
              </w:rPr>
            </w:pPr>
            <w:r w:rsidRPr="004E51D1">
              <w:rPr>
                <w:rFonts w:ascii="Times New Roman" w:hAnsi="Times New Roman"/>
                <w:snapToGrid w:val="0"/>
                <w:szCs w:val="28"/>
              </w:rPr>
              <w:t>№</w:t>
            </w:r>
            <w:r w:rsidR="006261FA">
              <w:rPr>
                <w:rFonts w:ascii="Times New Roman" w:hAnsi="Times New Roman"/>
                <w:snapToGrid w:val="0"/>
                <w:szCs w:val="28"/>
                <w:lang w:val="en-US"/>
              </w:rPr>
              <w:t>N085734</w:t>
            </w:r>
          </w:p>
          <w:p w14:paraId="396B121C" w14:textId="77777777" w:rsidR="002D77DB" w:rsidRPr="004E51D1" w:rsidRDefault="002D77DB" w:rsidP="00C82B05">
            <w:pPr>
              <w:pStyle w:val="a3"/>
              <w:ind w:left="318"/>
              <w:rPr>
                <w:rFonts w:ascii="Times New Roman" w:hAnsi="Times New Roman"/>
                <w:szCs w:val="28"/>
              </w:rPr>
            </w:pPr>
          </w:p>
        </w:tc>
      </w:tr>
    </w:tbl>
    <w:p w14:paraId="0728455A" w14:textId="77777777" w:rsidR="002D77DB" w:rsidRDefault="002D77DB" w:rsidP="00FA50CE">
      <w:pPr>
        <w:ind w:left="318"/>
        <w:jc w:val="center"/>
        <w:rPr>
          <w:b/>
          <w:sz w:val="28"/>
          <w:szCs w:val="28"/>
        </w:rPr>
      </w:pPr>
    </w:p>
    <w:p w14:paraId="2EF9466B" w14:textId="77777777" w:rsidR="00FA50CE" w:rsidRPr="004E51D1" w:rsidRDefault="00FA50CE" w:rsidP="00FA50CE">
      <w:pPr>
        <w:ind w:left="318"/>
        <w:jc w:val="center"/>
        <w:rPr>
          <w:b/>
          <w:sz w:val="28"/>
          <w:szCs w:val="28"/>
        </w:rPr>
      </w:pPr>
      <w:r w:rsidRPr="004E51D1">
        <w:rPr>
          <w:b/>
          <w:sz w:val="28"/>
          <w:szCs w:val="28"/>
        </w:rPr>
        <w:t>Инструкция по медицинскому применению</w:t>
      </w:r>
    </w:p>
    <w:p w14:paraId="2C0F3D9B" w14:textId="77777777" w:rsidR="00A1662D" w:rsidRPr="004E51D1" w:rsidRDefault="00FA50CE" w:rsidP="0096335C">
      <w:pPr>
        <w:ind w:left="318"/>
        <w:jc w:val="center"/>
        <w:rPr>
          <w:b/>
          <w:sz w:val="28"/>
          <w:szCs w:val="28"/>
        </w:rPr>
      </w:pPr>
      <w:r w:rsidRPr="004E51D1">
        <w:rPr>
          <w:b/>
          <w:sz w:val="28"/>
          <w:szCs w:val="28"/>
        </w:rPr>
        <w:t>лекарственного препарата (Листок-вкладыш)</w:t>
      </w:r>
    </w:p>
    <w:p w14:paraId="5FBB28C4" w14:textId="77777777" w:rsidR="00FA50CE" w:rsidRPr="004E51D1" w:rsidRDefault="00FA50CE" w:rsidP="00FA50CE">
      <w:pPr>
        <w:ind w:left="318"/>
        <w:jc w:val="center"/>
        <w:rPr>
          <w:b/>
          <w:sz w:val="28"/>
          <w:szCs w:val="28"/>
        </w:rPr>
      </w:pPr>
    </w:p>
    <w:p w14:paraId="2A17CFA8" w14:textId="77777777" w:rsidR="00A1662D" w:rsidRPr="004E51D1" w:rsidRDefault="00A1662D" w:rsidP="00D80AD5">
      <w:pPr>
        <w:shd w:val="clear" w:color="auto" w:fill="FFFFFF"/>
        <w:spacing w:line="269" w:lineRule="exact"/>
        <w:ind w:right="53"/>
        <w:jc w:val="both"/>
        <w:rPr>
          <w:b/>
          <w:bCs/>
          <w:color w:val="000000"/>
          <w:spacing w:val="-13"/>
          <w:sz w:val="28"/>
          <w:szCs w:val="28"/>
        </w:rPr>
      </w:pPr>
      <w:r w:rsidRPr="004E51D1">
        <w:rPr>
          <w:b/>
          <w:bCs/>
          <w:color w:val="000000"/>
          <w:spacing w:val="-13"/>
          <w:sz w:val="28"/>
          <w:szCs w:val="28"/>
        </w:rPr>
        <w:t>Торговое название</w:t>
      </w:r>
    </w:p>
    <w:p w14:paraId="6E861B72" w14:textId="77777777" w:rsidR="00D160E9" w:rsidRPr="004E51D1" w:rsidRDefault="00F6249D" w:rsidP="00D80AD5">
      <w:pPr>
        <w:shd w:val="clear" w:color="auto" w:fill="FFFFFF"/>
        <w:spacing w:line="269" w:lineRule="exact"/>
        <w:ind w:right="53"/>
        <w:jc w:val="both"/>
        <w:rPr>
          <w:bCs/>
          <w:color w:val="000000"/>
          <w:spacing w:val="-13"/>
          <w:sz w:val="28"/>
          <w:szCs w:val="28"/>
        </w:rPr>
      </w:pPr>
      <w:proofErr w:type="spellStart"/>
      <w:r w:rsidRPr="004E51D1">
        <w:rPr>
          <w:bCs/>
          <w:color w:val="000000"/>
          <w:spacing w:val="-13"/>
          <w:sz w:val="28"/>
          <w:szCs w:val="28"/>
        </w:rPr>
        <w:t>Катенокс</w:t>
      </w:r>
      <w:proofErr w:type="spellEnd"/>
    </w:p>
    <w:p w14:paraId="29D7E631" w14:textId="77777777" w:rsidR="00A1662D" w:rsidRPr="004E51D1" w:rsidRDefault="00A1662D" w:rsidP="00D80AD5">
      <w:pPr>
        <w:rPr>
          <w:sz w:val="28"/>
          <w:szCs w:val="28"/>
        </w:rPr>
      </w:pPr>
    </w:p>
    <w:p w14:paraId="5AA6B05A" w14:textId="77777777" w:rsidR="00872A55" w:rsidRPr="004E51D1" w:rsidRDefault="00872A55" w:rsidP="00D80AD5">
      <w:pPr>
        <w:shd w:val="clear" w:color="auto" w:fill="FFFFFF"/>
        <w:spacing w:line="269" w:lineRule="exact"/>
        <w:ind w:right="53"/>
        <w:jc w:val="both"/>
        <w:rPr>
          <w:b/>
          <w:bCs/>
          <w:color w:val="000000"/>
          <w:spacing w:val="-13"/>
          <w:sz w:val="28"/>
          <w:szCs w:val="28"/>
        </w:rPr>
      </w:pPr>
      <w:r w:rsidRPr="004E51D1">
        <w:rPr>
          <w:b/>
          <w:bCs/>
          <w:color w:val="000000"/>
          <w:spacing w:val="-13"/>
          <w:sz w:val="28"/>
          <w:szCs w:val="28"/>
        </w:rPr>
        <w:t>Международное непатентованное название</w:t>
      </w:r>
    </w:p>
    <w:p w14:paraId="47C862A2" w14:textId="77777777" w:rsidR="00872A55" w:rsidRPr="004E51D1" w:rsidRDefault="00F6249D" w:rsidP="00D80AD5">
      <w:pPr>
        <w:shd w:val="clear" w:color="auto" w:fill="FFFFFF"/>
        <w:spacing w:line="269" w:lineRule="exact"/>
        <w:ind w:right="53"/>
        <w:jc w:val="both"/>
        <w:rPr>
          <w:bCs/>
          <w:color w:val="000000"/>
          <w:spacing w:val="-13"/>
          <w:sz w:val="28"/>
          <w:szCs w:val="28"/>
        </w:rPr>
      </w:pPr>
      <w:proofErr w:type="spellStart"/>
      <w:r w:rsidRPr="004E51D1">
        <w:rPr>
          <w:bCs/>
          <w:color w:val="000000"/>
          <w:spacing w:val="-13"/>
          <w:sz w:val="28"/>
          <w:szCs w:val="28"/>
        </w:rPr>
        <w:t>Эноксапарин</w:t>
      </w:r>
      <w:proofErr w:type="spellEnd"/>
      <w:r w:rsidRPr="004E51D1">
        <w:rPr>
          <w:bCs/>
          <w:color w:val="000000"/>
          <w:spacing w:val="-13"/>
          <w:sz w:val="28"/>
          <w:szCs w:val="28"/>
        </w:rPr>
        <w:t xml:space="preserve"> натрия</w:t>
      </w:r>
    </w:p>
    <w:p w14:paraId="6D7CB6F1" w14:textId="77777777" w:rsidR="00F6249D" w:rsidRPr="004E51D1" w:rsidRDefault="00F6249D" w:rsidP="00D80AD5">
      <w:pPr>
        <w:shd w:val="clear" w:color="auto" w:fill="FFFFFF"/>
        <w:spacing w:line="269" w:lineRule="exact"/>
        <w:ind w:right="53"/>
        <w:jc w:val="both"/>
        <w:rPr>
          <w:b/>
          <w:bCs/>
          <w:color w:val="000000"/>
          <w:spacing w:val="-13"/>
          <w:sz w:val="28"/>
          <w:szCs w:val="28"/>
        </w:rPr>
      </w:pPr>
    </w:p>
    <w:p w14:paraId="64833070" w14:textId="77777777" w:rsidR="00872A55" w:rsidRPr="004E51D1" w:rsidRDefault="00872A55" w:rsidP="00D80AD5">
      <w:pPr>
        <w:tabs>
          <w:tab w:val="left" w:pos="4005"/>
        </w:tabs>
        <w:rPr>
          <w:b/>
          <w:sz w:val="28"/>
          <w:szCs w:val="28"/>
        </w:rPr>
      </w:pPr>
      <w:r w:rsidRPr="004E51D1">
        <w:rPr>
          <w:b/>
          <w:sz w:val="28"/>
          <w:szCs w:val="28"/>
        </w:rPr>
        <w:t>Лекарственная форма</w:t>
      </w:r>
      <w:r w:rsidRPr="004E51D1">
        <w:rPr>
          <w:b/>
          <w:sz w:val="28"/>
          <w:szCs w:val="28"/>
        </w:rPr>
        <w:tab/>
      </w:r>
    </w:p>
    <w:p w14:paraId="17E62051" w14:textId="77777777" w:rsidR="00D42C3C" w:rsidRPr="004E51D1" w:rsidRDefault="00F6249D" w:rsidP="00D80AD5">
      <w:pPr>
        <w:rPr>
          <w:sz w:val="28"/>
          <w:szCs w:val="28"/>
          <w:lang w:eastAsia="en-US"/>
        </w:rPr>
      </w:pPr>
      <w:r w:rsidRPr="004E51D1">
        <w:rPr>
          <w:sz w:val="28"/>
          <w:szCs w:val="28"/>
          <w:lang w:eastAsia="en-US"/>
        </w:rPr>
        <w:t>Раствор для инъекций</w:t>
      </w:r>
      <w:r w:rsidR="00C7189D" w:rsidRPr="004E51D1">
        <w:rPr>
          <w:sz w:val="28"/>
          <w:szCs w:val="28"/>
          <w:lang w:eastAsia="en-US"/>
        </w:rPr>
        <w:t>,</w:t>
      </w:r>
      <w:r w:rsidRPr="004E51D1">
        <w:rPr>
          <w:sz w:val="28"/>
          <w:szCs w:val="28"/>
          <w:lang w:eastAsia="en-US"/>
        </w:rPr>
        <w:t xml:space="preserve"> 2000 анти-Ха МЕ/0.2 мл, 4000 анти-Ха МЕ/0.4 мл</w:t>
      </w:r>
    </w:p>
    <w:p w14:paraId="72727EEB" w14:textId="77777777" w:rsidR="00F6249D" w:rsidRPr="004E51D1" w:rsidRDefault="00F6249D" w:rsidP="00D80AD5">
      <w:pPr>
        <w:rPr>
          <w:sz w:val="28"/>
          <w:szCs w:val="28"/>
          <w:lang w:eastAsia="en-US"/>
        </w:rPr>
      </w:pPr>
    </w:p>
    <w:p w14:paraId="2D7BDFC1" w14:textId="77777777" w:rsidR="00D42C3C" w:rsidRPr="004E51D1" w:rsidRDefault="00D42C3C" w:rsidP="00D80AD5">
      <w:pPr>
        <w:rPr>
          <w:b/>
          <w:sz w:val="28"/>
          <w:szCs w:val="28"/>
          <w:lang w:val="uk-UA" w:eastAsia="en-US"/>
        </w:rPr>
      </w:pPr>
      <w:proofErr w:type="spellStart"/>
      <w:r w:rsidRPr="004E51D1">
        <w:rPr>
          <w:b/>
          <w:sz w:val="28"/>
          <w:szCs w:val="28"/>
          <w:lang w:val="uk-UA" w:eastAsia="en-US"/>
        </w:rPr>
        <w:t>Фармакотерапевтическая</w:t>
      </w:r>
      <w:proofErr w:type="spellEnd"/>
      <w:r w:rsidRPr="004E51D1">
        <w:rPr>
          <w:b/>
          <w:sz w:val="28"/>
          <w:szCs w:val="28"/>
          <w:lang w:val="uk-UA" w:eastAsia="en-US"/>
        </w:rPr>
        <w:t xml:space="preserve"> </w:t>
      </w:r>
      <w:proofErr w:type="spellStart"/>
      <w:r w:rsidRPr="004E51D1">
        <w:rPr>
          <w:b/>
          <w:sz w:val="28"/>
          <w:szCs w:val="28"/>
          <w:lang w:val="uk-UA" w:eastAsia="en-US"/>
        </w:rPr>
        <w:t>группа</w:t>
      </w:r>
      <w:proofErr w:type="spellEnd"/>
    </w:p>
    <w:p w14:paraId="0443B5A0" w14:textId="77777777" w:rsidR="00F6249D" w:rsidRPr="004E51D1" w:rsidRDefault="00F6249D" w:rsidP="00D80AD5">
      <w:pPr>
        <w:jc w:val="both"/>
        <w:rPr>
          <w:sz w:val="28"/>
          <w:szCs w:val="28"/>
          <w:lang w:eastAsia="en-US"/>
        </w:rPr>
      </w:pPr>
      <w:r w:rsidRPr="004E51D1">
        <w:rPr>
          <w:sz w:val="28"/>
          <w:szCs w:val="28"/>
          <w:lang w:eastAsia="en-US"/>
        </w:rPr>
        <w:t xml:space="preserve">Кровь и органы кроветворения. </w:t>
      </w:r>
      <w:proofErr w:type="spellStart"/>
      <w:r w:rsidRPr="004E51D1">
        <w:rPr>
          <w:sz w:val="28"/>
          <w:szCs w:val="28"/>
          <w:lang w:eastAsia="en-US"/>
        </w:rPr>
        <w:t>Антитромботические</w:t>
      </w:r>
      <w:proofErr w:type="spellEnd"/>
      <w:r w:rsidRPr="004E51D1">
        <w:rPr>
          <w:sz w:val="28"/>
          <w:szCs w:val="28"/>
          <w:lang w:eastAsia="en-US"/>
        </w:rPr>
        <w:t xml:space="preserve"> препараты. Гепарина группа. </w:t>
      </w:r>
      <w:proofErr w:type="spellStart"/>
      <w:r w:rsidRPr="004E51D1">
        <w:rPr>
          <w:sz w:val="28"/>
          <w:szCs w:val="28"/>
          <w:lang w:eastAsia="en-US"/>
        </w:rPr>
        <w:t>Эноксапарин</w:t>
      </w:r>
      <w:proofErr w:type="spellEnd"/>
      <w:r w:rsidRPr="004E51D1">
        <w:rPr>
          <w:sz w:val="28"/>
          <w:szCs w:val="28"/>
          <w:lang w:eastAsia="en-US"/>
        </w:rPr>
        <w:t xml:space="preserve">. </w:t>
      </w:r>
    </w:p>
    <w:p w14:paraId="349B6BAE" w14:textId="77777777" w:rsidR="00D42C3C" w:rsidRPr="004E51D1" w:rsidRDefault="00F6249D" w:rsidP="00D80AD5">
      <w:pPr>
        <w:jc w:val="both"/>
        <w:rPr>
          <w:sz w:val="28"/>
          <w:szCs w:val="28"/>
          <w:lang w:eastAsia="en-US"/>
        </w:rPr>
      </w:pPr>
      <w:r w:rsidRPr="004E51D1">
        <w:rPr>
          <w:sz w:val="28"/>
          <w:szCs w:val="28"/>
          <w:lang w:eastAsia="en-US"/>
        </w:rPr>
        <w:t>Код АТХ B01AB05</w:t>
      </w:r>
    </w:p>
    <w:p w14:paraId="497EC0A9" w14:textId="77777777" w:rsidR="00F6249D" w:rsidRPr="004E51D1" w:rsidRDefault="00F6249D" w:rsidP="00D80AD5">
      <w:pPr>
        <w:jc w:val="both"/>
        <w:rPr>
          <w:sz w:val="28"/>
          <w:szCs w:val="28"/>
          <w:lang w:eastAsia="en-US"/>
        </w:rPr>
      </w:pPr>
    </w:p>
    <w:p w14:paraId="1EB1F40E" w14:textId="77777777" w:rsidR="00D42C3C" w:rsidRPr="004E51D1" w:rsidRDefault="00D42C3C" w:rsidP="00D80AD5">
      <w:pPr>
        <w:pStyle w:val="10"/>
        <w:spacing w:line="240" w:lineRule="auto"/>
        <w:rPr>
          <w:rFonts w:ascii="Times New Roman" w:hAnsi="Times New Roman"/>
          <w:b/>
          <w:sz w:val="28"/>
          <w:szCs w:val="28"/>
          <w:lang w:val="ru-RU"/>
        </w:rPr>
      </w:pPr>
      <w:proofErr w:type="spellStart"/>
      <w:r w:rsidRPr="004E51D1">
        <w:rPr>
          <w:rFonts w:ascii="Times New Roman" w:hAnsi="Times New Roman"/>
          <w:b/>
          <w:sz w:val="28"/>
          <w:szCs w:val="28"/>
          <w:lang w:val="uk-UA"/>
        </w:rPr>
        <w:t>Показания</w:t>
      </w:r>
      <w:proofErr w:type="spellEnd"/>
      <w:r w:rsidRPr="004E51D1">
        <w:rPr>
          <w:rFonts w:ascii="Times New Roman" w:hAnsi="Times New Roman"/>
          <w:b/>
          <w:sz w:val="28"/>
          <w:szCs w:val="28"/>
          <w:lang w:val="uk-UA"/>
        </w:rPr>
        <w:t xml:space="preserve"> к  </w:t>
      </w:r>
      <w:proofErr w:type="spellStart"/>
      <w:r w:rsidRPr="004E51D1">
        <w:rPr>
          <w:rFonts w:ascii="Times New Roman" w:hAnsi="Times New Roman"/>
          <w:b/>
          <w:sz w:val="28"/>
          <w:szCs w:val="28"/>
          <w:lang w:val="uk-UA"/>
        </w:rPr>
        <w:t>применению</w:t>
      </w:r>
      <w:proofErr w:type="spellEnd"/>
    </w:p>
    <w:p w14:paraId="2BEC7CB4"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профилактика венозных тромбоэмболических заболеваний при хирургических вмешательствах умеренного или высокого риска, в частности у пациентов, перенесших ортопедическую или общехирургическую операцию, включая онкологическую операцию</w:t>
      </w:r>
    </w:p>
    <w:p w14:paraId="2A78C109"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xml:space="preserve">- профилактика венозных тромбоэмболических заболеваний у терапевтических пациентов с острым заболеванием, включая: </w:t>
      </w:r>
    </w:p>
    <w:p w14:paraId="75924039"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острую сердечную недостаточность </w:t>
      </w:r>
    </w:p>
    <w:p w14:paraId="06B6AF44"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острую дыхательную недостаточность</w:t>
      </w:r>
    </w:p>
    <w:p w14:paraId="296E6E30"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тяжелые инфекционные или ревматические заболевания </w:t>
      </w:r>
    </w:p>
    <w:p w14:paraId="0C8600E8" w14:textId="77777777" w:rsidR="00F6249D" w:rsidRPr="004E51D1" w:rsidRDefault="00F6249D" w:rsidP="008461B2">
      <w:pPr>
        <w:numPr>
          <w:ilvl w:val="0"/>
          <w:numId w:val="16"/>
        </w:numPr>
        <w:jc w:val="both"/>
        <w:rPr>
          <w:rFonts w:ascii="UniversCyr-Light" w:hAnsi="UniversCyr-Light" w:cs="UniversCyr-Light"/>
          <w:sz w:val="28"/>
          <w:szCs w:val="28"/>
        </w:rPr>
      </w:pPr>
      <w:r w:rsidRPr="004E51D1">
        <w:rPr>
          <w:rFonts w:ascii="UniversCyr-Light" w:hAnsi="UniversCyr-Light" w:cs="UniversCyr-Light"/>
          <w:sz w:val="28"/>
          <w:szCs w:val="28"/>
        </w:rPr>
        <w:t xml:space="preserve">снижение подвижности при повышенном риске венозной тромбоэмболии </w:t>
      </w:r>
    </w:p>
    <w:p w14:paraId="0BDD731D"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xml:space="preserve">- лечение тромбоза глубоких вен (ТГВ) в сочетании с тромбоэмболией легочной артерии (ТЭЛА), за исключением ТЭЛА, для которой может потребоваться лечение </w:t>
      </w:r>
      <w:proofErr w:type="spellStart"/>
      <w:r w:rsidRPr="004E51D1">
        <w:rPr>
          <w:rFonts w:ascii="UniversCyr-Light" w:hAnsi="UniversCyr-Light" w:cs="UniversCyr-Light"/>
          <w:sz w:val="28"/>
          <w:szCs w:val="28"/>
        </w:rPr>
        <w:t>тромболитическим</w:t>
      </w:r>
      <w:proofErr w:type="spellEnd"/>
      <w:r w:rsidRPr="004E51D1">
        <w:rPr>
          <w:rFonts w:ascii="UniversCyr-Light" w:hAnsi="UniversCyr-Light" w:cs="UniversCyr-Light"/>
          <w:sz w:val="28"/>
          <w:szCs w:val="28"/>
        </w:rPr>
        <w:t xml:space="preserve"> средством или хирургическим путем </w:t>
      </w:r>
    </w:p>
    <w:p w14:paraId="4995E72B" w14:textId="77777777" w:rsidR="00736D3B" w:rsidRPr="004E51D1" w:rsidRDefault="00736D3B" w:rsidP="00D80AD5">
      <w:pPr>
        <w:jc w:val="both"/>
        <w:rPr>
          <w:rFonts w:ascii="UniversCyr-Light" w:hAnsi="UniversCyr-Light" w:cs="UniversCyr-Light"/>
          <w:sz w:val="28"/>
          <w:szCs w:val="28"/>
        </w:rPr>
      </w:pPr>
      <w:r w:rsidRPr="004E51D1">
        <w:rPr>
          <w:rFonts w:ascii="UniversCyr-Light" w:hAnsi="UniversCyr-Light" w:cs="UniversCyr-Light"/>
          <w:sz w:val="28"/>
          <w:szCs w:val="28"/>
        </w:rPr>
        <w:lastRenderedPageBreak/>
        <w:t xml:space="preserve">- </w:t>
      </w:r>
      <w:r w:rsidR="000F1804" w:rsidRPr="004E51D1">
        <w:rPr>
          <w:rFonts w:ascii="UniversCyr-Light" w:hAnsi="UniversCyr-Light" w:cs="UniversCyr-Light"/>
          <w:sz w:val="28"/>
          <w:szCs w:val="28"/>
        </w:rPr>
        <w:t>длительное лечение тромбоза глубоких вен (ТГВ) и тромбоэмболии легочной артерии (ТЭЛА) и профилактика их рецидивов у пациентов с активным раком</w:t>
      </w:r>
    </w:p>
    <w:p w14:paraId="16D228FA" w14:textId="77777777" w:rsidR="00F6249D" w:rsidRPr="004E51D1" w:rsidRDefault="00F6249D" w:rsidP="00D80AD5">
      <w:pPr>
        <w:jc w:val="both"/>
        <w:rPr>
          <w:rFonts w:ascii="UniversCyr-Light" w:hAnsi="UniversCyr-Light" w:cs="UniversCyr-Light"/>
          <w:sz w:val="28"/>
          <w:szCs w:val="28"/>
        </w:rPr>
      </w:pPr>
      <w:r w:rsidRPr="004E51D1">
        <w:rPr>
          <w:rFonts w:ascii="UniversCyr-Light" w:hAnsi="UniversCyr-Light" w:cs="UniversCyr-Light"/>
          <w:sz w:val="28"/>
          <w:szCs w:val="28"/>
        </w:rPr>
        <w:t>- профилактика тромбообразования при искусственном кровообращении во время гемодиализа</w:t>
      </w:r>
      <w:r w:rsidR="001F5F47" w:rsidRPr="004E51D1">
        <w:rPr>
          <w:rFonts w:asciiTheme="minorHAnsi" w:hAnsiTheme="minorHAnsi" w:cs="UniversCyr-Light"/>
          <w:sz w:val="28"/>
          <w:szCs w:val="28"/>
        </w:rPr>
        <w:t>.</w:t>
      </w:r>
      <w:r w:rsidRPr="004E51D1">
        <w:rPr>
          <w:rFonts w:ascii="UniversCyr-Light" w:hAnsi="UniversCyr-Light" w:cs="UniversCyr-Light"/>
          <w:sz w:val="28"/>
          <w:szCs w:val="28"/>
        </w:rPr>
        <w:t xml:space="preserve"> </w:t>
      </w:r>
    </w:p>
    <w:p w14:paraId="177AB5D2" w14:textId="77777777" w:rsidR="00F6249D" w:rsidRPr="004E51D1" w:rsidRDefault="00F6249D" w:rsidP="00D80AD5">
      <w:pPr>
        <w:jc w:val="both"/>
        <w:rPr>
          <w:rFonts w:ascii="UniversCyr-Light" w:hAnsi="UniversCyr-Light" w:cs="UniversCyr-Light"/>
          <w:i/>
          <w:sz w:val="28"/>
          <w:szCs w:val="28"/>
        </w:rPr>
      </w:pPr>
      <w:r w:rsidRPr="004E51D1">
        <w:rPr>
          <w:rFonts w:ascii="UniversCyr-Light" w:hAnsi="UniversCyr-Light" w:cs="UniversCyr-Light"/>
          <w:i/>
          <w:sz w:val="28"/>
          <w:szCs w:val="28"/>
        </w:rPr>
        <w:t>При остром коронарном синдроме:</w:t>
      </w:r>
    </w:p>
    <w:p w14:paraId="599DF934" w14:textId="77777777" w:rsidR="00F6249D" w:rsidRPr="004E51D1" w:rsidRDefault="00F6249D" w:rsidP="00D80AD5">
      <w:pPr>
        <w:jc w:val="both"/>
        <w:rPr>
          <w:rFonts w:ascii="Calibri" w:hAnsi="Calibri" w:cs="UniversCyr-Light"/>
          <w:sz w:val="28"/>
          <w:szCs w:val="28"/>
        </w:rPr>
      </w:pPr>
      <w:r w:rsidRPr="004E51D1">
        <w:rPr>
          <w:rFonts w:ascii="UniversCyr-Light" w:hAnsi="UniversCyr-Light" w:cs="UniversCyr-Light"/>
          <w:sz w:val="28"/>
          <w:szCs w:val="28"/>
        </w:rPr>
        <w:t>- лечение нестабильной стенокардии и инфаркта миокарда без подъёма сегмента ST в сочетании с ацетилсалициловой кислотой</w:t>
      </w:r>
      <w:r w:rsidR="0009096F" w:rsidRPr="004E51D1">
        <w:rPr>
          <w:rFonts w:ascii="UniversCyr-Light" w:hAnsi="UniversCyr-Light" w:cs="UniversCyr-Light"/>
          <w:sz w:val="28"/>
          <w:szCs w:val="28"/>
        </w:rPr>
        <w:t>.</w:t>
      </w:r>
    </w:p>
    <w:p w14:paraId="1C6E1769" w14:textId="77777777" w:rsidR="00CF5C21" w:rsidRPr="004E51D1" w:rsidRDefault="00CF5C21" w:rsidP="00CF5C21">
      <w:pPr>
        <w:autoSpaceDE w:val="0"/>
        <w:autoSpaceDN w:val="0"/>
        <w:adjustRightInd w:val="0"/>
        <w:jc w:val="both"/>
        <w:rPr>
          <w:color w:val="000000"/>
          <w:sz w:val="28"/>
          <w:szCs w:val="28"/>
        </w:rPr>
      </w:pPr>
      <w:r w:rsidRPr="004E51D1">
        <w:rPr>
          <w:color w:val="000000"/>
          <w:sz w:val="28"/>
          <w:szCs w:val="28"/>
        </w:rPr>
        <w:t xml:space="preserve">Не применяется при лечении острого инфаркта миокарда с подъемом сегмента </w:t>
      </w:r>
      <w:r w:rsidRPr="004E51D1">
        <w:rPr>
          <w:color w:val="000000"/>
          <w:sz w:val="28"/>
          <w:szCs w:val="28"/>
          <w:lang w:val="en-US"/>
        </w:rPr>
        <w:t>ST</w:t>
      </w:r>
      <w:r w:rsidRPr="004E51D1">
        <w:rPr>
          <w:color w:val="000000"/>
          <w:sz w:val="28"/>
          <w:szCs w:val="28"/>
        </w:rPr>
        <w:t xml:space="preserve">, в том числе у пациентов, которые подлежат лечению медикаментозно или с помощью последующего </w:t>
      </w:r>
      <w:proofErr w:type="spellStart"/>
      <w:r w:rsidRPr="004E51D1">
        <w:rPr>
          <w:color w:val="000000"/>
          <w:sz w:val="28"/>
          <w:szCs w:val="28"/>
        </w:rPr>
        <w:t>чрескожного</w:t>
      </w:r>
      <w:proofErr w:type="spellEnd"/>
      <w:r w:rsidRPr="004E51D1">
        <w:rPr>
          <w:color w:val="000000"/>
          <w:sz w:val="28"/>
          <w:szCs w:val="28"/>
        </w:rPr>
        <w:t xml:space="preserve"> коронарного вмешательства (ЧКВ) из-за невозможности введения необходимой стартовой дозы 30 мг, т.к. на шприцах препарата </w:t>
      </w:r>
      <w:proofErr w:type="spellStart"/>
      <w:r w:rsidRPr="004E51D1">
        <w:rPr>
          <w:color w:val="000000"/>
          <w:sz w:val="28"/>
          <w:szCs w:val="28"/>
        </w:rPr>
        <w:t>Катенокс</w:t>
      </w:r>
      <w:proofErr w:type="spellEnd"/>
      <w:r w:rsidRPr="004E51D1">
        <w:rPr>
          <w:color w:val="000000"/>
          <w:sz w:val="28"/>
          <w:szCs w:val="28"/>
        </w:rPr>
        <w:t xml:space="preserve"> с дозировкой 2000 анти-Ха МЕ/0.2 мл (20 мг) и 4000 анти-Ха МЕ/0.4 мл (40 мг) отсутствует шкала делений/</w:t>
      </w:r>
      <w:proofErr w:type="spellStart"/>
      <w:r w:rsidRPr="004E51D1">
        <w:rPr>
          <w:color w:val="000000"/>
          <w:sz w:val="28"/>
          <w:szCs w:val="28"/>
        </w:rPr>
        <w:t>градуирование</w:t>
      </w:r>
      <w:proofErr w:type="spellEnd"/>
      <w:r w:rsidR="00816683" w:rsidRPr="004E51D1">
        <w:rPr>
          <w:color w:val="000000"/>
          <w:sz w:val="28"/>
          <w:szCs w:val="28"/>
        </w:rPr>
        <w:t>, кроме пожилых пациентов, у которых не требуется введения стартовой дозы.</w:t>
      </w:r>
    </w:p>
    <w:p w14:paraId="4684D09D" w14:textId="77777777" w:rsidR="00D42C3C" w:rsidRPr="004E51D1" w:rsidRDefault="00D42C3C" w:rsidP="00D42C3C">
      <w:pPr>
        <w:ind w:left="318"/>
        <w:rPr>
          <w:sz w:val="28"/>
          <w:szCs w:val="28"/>
          <w:lang w:eastAsia="en-US"/>
        </w:rPr>
      </w:pPr>
    </w:p>
    <w:p w14:paraId="7043FD16" w14:textId="77777777" w:rsidR="00726CCF" w:rsidRPr="004E51D1" w:rsidRDefault="00726CCF" w:rsidP="00B16BB0">
      <w:pPr>
        <w:rPr>
          <w:b/>
          <w:bCs/>
          <w:sz w:val="28"/>
          <w:szCs w:val="28"/>
          <w:lang w:eastAsia="en-US"/>
        </w:rPr>
      </w:pPr>
      <w:r w:rsidRPr="004E51D1">
        <w:rPr>
          <w:b/>
          <w:bCs/>
          <w:sz w:val="28"/>
          <w:szCs w:val="28"/>
          <w:lang w:eastAsia="en-US"/>
        </w:rPr>
        <w:t>Перечень сведений, необходимых до начала применения</w:t>
      </w:r>
    </w:p>
    <w:p w14:paraId="7B511DF7" w14:textId="77777777" w:rsidR="00726CCF" w:rsidRPr="004E51D1" w:rsidRDefault="00726CCF" w:rsidP="00B16BB0">
      <w:pPr>
        <w:rPr>
          <w:b/>
          <w:bCs/>
          <w:i/>
          <w:sz w:val="28"/>
          <w:szCs w:val="28"/>
          <w:lang w:eastAsia="en-US"/>
        </w:rPr>
      </w:pPr>
      <w:r w:rsidRPr="004E51D1">
        <w:rPr>
          <w:b/>
          <w:bCs/>
          <w:i/>
          <w:sz w:val="28"/>
          <w:szCs w:val="28"/>
          <w:lang w:eastAsia="en-US"/>
        </w:rPr>
        <w:t>Противопоказания</w:t>
      </w:r>
    </w:p>
    <w:p w14:paraId="71F77900" w14:textId="77777777" w:rsidR="00A67C5D" w:rsidRPr="004E51D1" w:rsidRDefault="00A67C5D" w:rsidP="00A67C5D">
      <w:pPr>
        <w:autoSpaceDE w:val="0"/>
        <w:autoSpaceDN w:val="0"/>
        <w:adjustRightInd w:val="0"/>
        <w:jc w:val="both"/>
        <w:rPr>
          <w:color w:val="000000"/>
          <w:sz w:val="28"/>
          <w:szCs w:val="28"/>
          <w:lang w:eastAsia="hu-HU"/>
        </w:rPr>
      </w:pPr>
      <w:r w:rsidRPr="004E51D1">
        <w:rPr>
          <w:color w:val="000000"/>
          <w:sz w:val="28"/>
          <w:szCs w:val="28"/>
          <w:lang w:eastAsia="hu-HU"/>
        </w:rPr>
        <w:t xml:space="preserve">- гиперчувствительность к </w:t>
      </w:r>
      <w:proofErr w:type="spellStart"/>
      <w:r w:rsidRPr="004E51D1">
        <w:rPr>
          <w:color w:val="000000"/>
          <w:sz w:val="28"/>
          <w:szCs w:val="28"/>
          <w:lang w:eastAsia="hu-HU"/>
        </w:rPr>
        <w:t>эноксапарину</w:t>
      </w:r>
      <w:proofErr w:type="spellEnd"/>
      <w:r w:rsidRPr="004E51D1">
        <w:rPr>
          <w:color w:val="000000"/>
          <w:sz w:val="28"/>
          <w:szCs w:val="28"/>
          <w:lang w:eastAsia="hu-HU"/>
        </w:rPr>
        <w:t>, гепарину или его производным, включая другие виды н</w:t>
      </w:r>
      <w:r w:rsidRPr="004E51D1">
        <w:rPr>
          <w:bCs/>
          <w:color w:val="000000"/>
          <w:sz w:val="28"/>
          <w:szCs w:val="28"/>
          <w:shd w:val="clear" w:color="auto" w:fill="FFFFFF"/>
          <w:lang w:eastAsia="hu-HU"/>
        </w:rPr>
        <w:t>изкомолекулярные гепарины</w:t>
      </w:r>
      <w:r w:rsidRPr="004E51D1">
        <w:rPr>
          <w:color w:val="000000"/>
          <w:sz w:val="28"/>
          <w:szCs w:val="28"/>
          <w:lang w:eastAsia="hu-HU"/>
        </w:rPr>
        <w:t xml:space="preserve"> (НМГ) или к любым вспомогательным веществам</w:t>
      </w:r>
    </w:p>
    <w:p w14:paraId="3DE9E0F9" w14:textId="77777777" w:rsidR="00A67C5D" w:rsidRPr="004E51D1" w:rsidRDefault="00A67C5D" w:rsidP="00A67C5D">
      <w:pPr>
        <w:autoSpaceDE w:val="0"/>
        <w:autoSpaceDN w:val="0"/>
        <w:adjustRightInd w:val="0"/>
        <w:jc w:val="both"/>
        <w:rPr>
          <w:strike/>
          <w:color w:val="000000"/>
          <w:sz w:val="28"/>
          <w:szCs w:val="28"/>
          <w:lang w:eastAsia="hu-HU"/>
        </w:rPr>
      </w:pPr>
      <w:r w:rsidRPr="004E51D1">
        <w:rPr>
          <w:color w:val="000000"/>
          <w:sz w:val="28"/>
          <w:szCs w:val="28"/>
          <w:lang w:eastAsia="hu-HU"/>
        </w:rPr>
        <w:t xml:space="preserve">- наличие в анамнезе тяжелой, </w:t>
      </w:r>
      <w:proofErr w:type="spellStart"/>
      <w:r w:rsidRPr="004E51D1">
        <w:rPr>
          <w:color w:val="000000"/>
          <w:sz w:val="28"/>
          <w:szCs w:val="28"/>
          <w:lang w:eastAsia="hu-HU"/>
        </w:rPr>
        <w:t>иммуноопосредованной</w:t>
      </w:r>
      <w:proofErr w:type="spellEnd"/>
      <w:r w:rsidRPr="004E51D1">
        <w:rPr>
          <w:color w:val="000000"/>
          <w:sz w:val="28"/>
          <w:szCs w:val="28"/>
          <w:lang w:eastAsia="hu-HU"/>
        </w:rPr>
        <w:t xml:space="preserve"> гепарин-индуцированной тромбоцитопении (ГИТ) в течение последних 100 дней или при наличии циркулирующих антител </w:t>
      </w:r>
    </w:p>
    <w:p w14:paraId="5068808E"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активные клинически значимые кровотечения и заболевания с высоким риском кровотечения:</w:t>
      </w:r>
    </w:p>
    <w:p w14:paraId="5418A818"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недавно перенесенный геморрагический инсульт </w:t>
      </w:r>
    </w:p>
    <w:p w14:paraId="50F578C2"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язвенная болезнь желудочно-кишечного тракта </w:t>
      </w:r>
    </w:p>
    <w:p w14:paraId="742694B9"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наличие злокачественного новообразовани</w:t>
      </w:r>
      <w:r w:rsidR="00130458" w:rsidRPr="004E51D1">
        <w:rPr>
          <w:rFonts w:eastAsia="Calibri"/>
          <w:sz w:val="28"/>
          <w:szCs w:val="28"/>
          <w:lang w:eastAsia="en-US"/>
        </w:rPr>
        <w:t>я с высоким риском кровотечения</w:t>
      </w:r>
      <w:r w:rsidRPr="004E51D1">
        <w:rPr>
          <w:rFonts w:eastAsia="Calibri"/>
          <w:sz w:val="28"/>
          <w:szCs w:val="28"/>
          <w:lang w:eastAsia="en-US"/>
        </w:rPr>
        <w:t xml:space="preserve"> </w:t>
      </w:r>
    </w:p>
    <w:p w14:paraId="07246CC7"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недавно перенесенная операция на головном мозге, на позвоночнике или офтальмологическая операция</w:t>
      </w:r>
    </w:p>
    <w:p w14:paraId="1B6DD39B"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варикозное расширение вен пищевода (или подозрение на него)</w:t>
      </w:r>
    </w:p>
    <w:p w14:paraId="5F5B9575"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артериовенозный врожденный порок</w:t>
      </w:r>
    </w:p>
    <w:p w14:paraId="57819387"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аневризмы сосудов</w:t>
      </w:r>
    </w:p>
    <w:p w14:paraId="21057CB5"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аномалии крупных </w:t>
      </w:r>
      <w:proofErr w:type="spellStart"/>
      <w:r w:rsidRPr="004E51D1">
        <w:rPr>
          <w:rFonts w:eastAsia="Calibri"/>
          <w:sz w:val="28"/>
          <w:szCs w:val="28"/>
          <w:lang w:eastAsia="en-US"/>
        </w:rPr>
        <w:t>внутрипозвоночных</w:t>
      </w:r>
      <w:proofErr w:type="spellEnd"/>
      <w:r w:rsidRPr="004E51D1">
        <w:rPr>
          <w:rFonts w:eastAsia="Calibri"/>
          <w:sz w:val="28"/>
          <w:szCs w:val="28"/>
          <w:lang w:eastAsia="en-US"/>
        </w:rPr>
        <w:t xml:space="preserve"> или внутримозговых сосудов</w:t>
      </w:r>
    </w:p>
    <w:p w14:paraId="6A8DFD59" w14:textId="77777777" w:rsidR="00A67C5D" w:rsidRPr="004E51D1" w:rsidRDefault="00A67C5D" w:rsidP="00A67C5D">
      <w:pPr>
        <w:tabs>
          <w:tab w:val="left" w:pos="567"/>
        </w:tabs>
        <w:jc w:val="both"/>
        <w:rPr>
          <w:rFonts w:eastAsia="Calibri"/>
          <w:sz w:val="28"/>
          <w:szCs w:val="28"/>
          <w:lang w:eastAsia="en-US"/>
        </w:rPr>
      </w:pPr>
      <w:r w:rsidRPr="004E51D1">
        <w:rPr>
          <w:rFonts w:eastAsia="Calibri"/>
          <w:sz w:val="28"/>
          <w:szCs w:val="28"/>
          <w:lang w:eastAsia="en-US"/>
        </w:rPr>
        <w:t xml:space="preserve">- спинальная или эпидуральная анестезия или </w:t>
      </w:r>
      <w:proofErr w:type="spellStart"/>
      <w:r w:rsidRPr="004E51D1">
        <w:rPr>
          <w:rFonts w:eastAsia="Calibri"/>
          <w:sz w:val="28"/>
          <w:szCs w:val="28"/>
          <w:lang w:eastAsia="en-US"/>
        </w:rPr>
        <w:t>локорегионарная</w:t>
      </w:r>
      <w:proofErr w:type="spellEnd"/>
      <w:r w:rsidRPr="004E51D1">
        <w:rPr>
          <w:rFonts w:eastAsia="Calibri"/>
          <w:sz w:val="28"/>
          <w:szCs w:val="28"/>
          <w:lang w:eastAsia="en-US"/>
        </w:rPr>
        <w:t xml:space="preserve"> анестезия при применении </w:t>
      </w:r>
      <w:proofErr w:type="spellStart"/>
      <w:r w:rsidRPr="004E51D1">
        <w:rPr>
          <w:rFonts w:eastAsia="Calibri"/>
          <w:sz w:val="28"/>
          <w:szCs w:val="28"/>
          <w:lang w:eastAsia="en-US"/>
        </w:rPr>
        <w:t>эноксапарина</w:t>
      </w:r>
      <w:proofErr w:type="spellEnd"/>
      <w:r w:rsidRPr="004E51D1">
        <w:rPr>
          <w:rFonts w:eastAsia="Calibri"/>
          <w:sz w:val="28"/>
          <w:szCs w:val="28"/>
          <w:lang w:eastAsia="en-US"/>
        </w:rPr>
        <w:t xml:space="preserve"> натрия для лечения в течение предыдущих 24 часов</w:t>
      </w:r>
    </w:p>
    <w:p w14:paraId="643D381D" w14:textId="77777777" w:rsidR="00726CCF" w:rsidRPr="004E51D1" w:rsidRDefault="00726CCF" w:rsidP="003E7DD0">
      <w:pPr>
        <w:jc w:val="both"/>
        <w:rPr>
          <w:b/>
          <w:bCs/>
          <w:i/>
          <w:sz w:val="28"/>
          <w:szCs w:val="28"/>
          <w:lang w:eastAsia="en-US"/>
        </w:rPr>
      </w:pPr>
      <w:r w:rsidRPr="004E51D1">
        <w:rPr>
          <w:b/>
          <w:bCs/>
          <w:i/>
          <w:sz w:val="28"/>
          <w:szCs w:val="28"/>
          <w:lang w:eastAsia="en-US"/>
        </w:rPr>
        <w:t>Взаимодействия с другими лекарственными препаратами</w:t>
      </w:r>
    </w:p>
    <w:p w14:paraId="1B9EA93F" w14:textId="77777777" w:rsidR="00D47FE1" w:rsidRPr="004E51D1" w:rsidRDefault="00D47FE1" w:rsidP="003E7DD0">
      <w:pPr>
        <w:jc w:val="both"/>
        <w:rPr>
          <w:i/>
          <w:color w:val="000000"/>
          <w:sz w:val="28"/>
          <w:szCs w:val="28"/>
          <w:u w:val="single"/>
          <w:lang w:eastAsia="hu-HU"/>
        </w:rPr>
      </w:pPr>
      <w:r w:rsidRPr="004E51D1">
        <w:rPr>
          <w:i/>
          <w:color w:val="000000"/>
          <w:sz w:val="28"/>
          <w:szCs w:val="28"/>
          <w:u w:val="single"/>
          <w:lang w:eastAsia="hu-HU"/>
        </w:rPr>
        <w:t>Нерекомендуемые комбинации</w:t>
      </w:r>
    </w:p>
    <w:p w14:paraId="30CFA144" w14:textId="77777777" w:rsidR="00D47FE1" w:rsidRPr="004E51D1" w:rsidRDefault="00D47FE1" w:rsidP="003E7DD0">
      <w:pPr>
        <w:jc w:val="both"/>
        <w:rPr>
          <w:sz w:val="28"/>
          <w:szCs w:val="24"/>
          <w:lang w:eastAsia="hu-HU"/>
        </w:rPr>
      </w:pPr>
      <w:r w:rsidRPr="004E51D1">
        <w:rPr>
          <w:b/>
          <w:sz w:val="28"/>
          <w:szCs w:val="24"/>
          <w:lang w:eastAsia="hu-HU"/>
        </w:rPr>
        <w:t xml:space="preserve">- </w:t>
      </w:r>
      <w:r w:rsidRPr="004E51D1">
        <w:rPr>
          <w:sz w:val="28"/>
          <w:szCs w:val="24"/>
          <w:lang w:eastAsia="hu-HU"/>
        </w:rPr>
        <w:t>препараты, влияющие на гемостаз.</w:t>
      </w:r>
    </w:p>
    <w:p w14:paraId="286A7D34" w14:textId="77777777" w:rsidR="00D47FE1" w:rsidRPr="004E51D1" w:rsidRDefault="00D47FE1" w:rsidP="003E7DD0">
      <w:pPr>
        <w:jc w:val="both"/>
        <w:rPr>
          <w:b/>
          <w:sz w:val="28"/>
          <w:szCs w:val="24"/>
          <w:lang w:eastAsia="hu-HU"/>
        </w:rPr>
      </w:pPr>
      <w:r w:rsidRPr="004E51D1">
        <w:rPr>
          <w:sz w:val="28"/>
          <w:szCs w:val="28"/>
          <w:lang w:eastAsia="hu-HU"/>
        </w:rPr>
        <w:lastRenderedPageBreak/>
        <w:t xml:space="preserve">Рекомендуется прекращение приема некоторых препаратов, влияющих на гемостаз, до начала лечения </w:t>
      </w:r>
      <w:proofErr w:type="spellStart"/>
      <w:r w:rsidRPr="004E51D1">
        <w:rPr>
          <w:sz w:val="28"/>
          <w:szCs w:val="28"/>
          <w:lang w:eastAsia="hu-HU"/>
        </w:rPr>
        <w:t>эноксапарином</w:t>
      </w:r>
      <w:proofErr w:type="spellEnd"/>
      <w:r w:rsidRPr="004E51D1">
        <w:rPr>
          <w:sz w:val="28"/>
          <w:szCs w:val="28"/>
          <w:lang w:eastAsia="hu-HU"/>
        </w:rPr>
        <w:t xml:space="preserve"> натрия, за исключением случаев, когда их применение является строго показанным. Если показаны комбинации </w:t>
      </w:r>
      <w:proofErr w:type="spellStart"/>
      <w:r w:rsidRPr="004E51D1">
        <w:rPr>
          <w:sz w:val="28"/>
          <w:szCs w:val="28"/>
          <w:lang w:eastAsia="hu-HU"/>
        </w:rPr>
        <w:t>эноксапарина</w:t>
      </w:r>
      <w:proofErr w:type="spellEnd"/>
      <w:r w:rsidRPr="004E51D1">
        <w:rPr>
          <w:sz w:val="28"/>
          <w:szCs w:val="28"/>
          <w:lang w:eastAsia="hu-HU"/>
        </w:rPr>
        <w:t xml:space="preserve"> натрия с этими препаратами, то </w:t>
      </w:r>
      <w:proofErr w:type="spellStart"/>
      <w:r w:rsidRPr="004E51D1">
        <w:rPr>
          <w:sz w:val="28"/>
          <w:szCs w:val="28"/>
          <w:lang w:eastAsia="hu-HU"/>
        </w:rPr>
        <w:t>эноксапарин</w:t>
      </w:r>
      <w:proofErr w:type="spellEnd"/>
      <w:r w:rsidRPr="004E51D1">
        <w:rPr>
          <w:sz w:val="28"/>
          <w:szCs w:val="28"/>
          <w:lang w:eastAsia="hu-HU"/>
        </w:rPr>
        <w:t xml:space="preserve"> натрия следует применять с тщательным клиническим наблюдением и мониторингом соответствующих лабораторных показателей.  </w:t>
      </w:r>
    </w:p>
    <w:p w14:paraId="18520305" w14:textId="77777777" w:rsidR="00D47FE1" w:rsidRPr="004E51D1" w:rsidRDefault="00D47FE1" w:rsidP="003E7DD0">
      <w:pPr>
        <w:keepNext/>
        <w:tabs>
          <w:tab w:val="left" w:pos="567"/>
        </w:tabs>
        <w:contextualSpacing/>
        <w:jc w:val="both"/>
        <w:rPr>
          <w:sz w:val="28"/>
          <w:szCs w:val="28"/>
          <w:lang w:eastAsia="en-US"/>
        </w:rPr>
      </w:pPr>
      <w:r w:rsidRPr="004E51D1">
        <w:rPr>
          <w:sz w:val="28"/>
          <w:szCs w:val="28"/>
          <w:lang w:eastAsia="en-US"/>
        </w:rPr>
        <w:t>К таким веществам относятся следующие препараты:</w:t>
      </w:r>
    </w:p>
    <w:p w14:paraId="1D4A831A" w14:textId="77777777" w:rsidR="00D47FE1" w:rsidRPr="004E51D1" w:rsidRDefault="00D47FE1" w:rsidP="003E7DD0">
      <w:pPr>
        <w:keepNext/>
        <w:numPr>
          <w:ilvl w:val="0"/>
          <w:numId w:val="18"/>
        </w:numPr>
        <w:tabs>
          <w:tab w:val="left" w:pos="709"/>
        </w:tabs>
        <w:ind w:left="0" w:firstLine="426"/>
        <w:contextualSpacing/>
        <w:jc w:val="both"/>
        <w:rPr>
          <w:sz w:val="28"/>
          <w:szCs w:val="28"/>
          <w:lang w:eastAsia="en-US"/>
        </w:rPr>
      </w:pPr>
      <w:r w:rsidRPr="004E51D1">
        <w:rPr>
          <w:sz w:val="28"/>
          <w:szCs w:val="28"/>
          <w:lang w:eastAsia="en-US"/>
        </w:rPr>
        <w:t xml:space="preserve">системные салицилаты, ацетилсалициловая кислота (противовоспалительная доза) и нестероидные противовоспалительные препараты, включая </w:t>
      </w:r>
      <w:proofErr w:type="spellStart"/>
      <w:r w:rsidRPr="004E51D1">
        <w:rPr>
          <w:sz w:val="28"/>
          <w:szCs w:val="28"/>
          <w:lang w:eastAsia="en-US"/>
        </w:rPr>
        <w:t>кеторолак</w:t>
      </w:r>
      <w:proofErr w:type="spellEnd"/>
      <w:r w:rsidRPr="004E51D1">
        <w:rPr>
          <w:sz w:val="28"/>
          <w:szCs w:val="28"/>
          <w:lang w:eastAsia="en-US"/>
        </w:rPr>
        <w:t xml:space="preserve">; </w:t>
      </w:r>
    </w:p>
    <w:p w14:paraId="4E943D55" w14:textId="77777777" w:rsidR="00D47FE1" w:rsidRPr="004E51D1" w:rsidRDefault="00D47FE1" w:rsidP="003E7DD0">
      <w:pPr>
        <w:keepNext/>
        <w:numPr>
          <w:ilvl w:val="0"/>
          <w:numId w:val="18"/>
        </w:numPr>
        <w:tabs>
          <w:tab w:val="left" w:pos="709"/>
        </w:tabs>
        <w:ind w:left="0" w:firstLine="426"/>
        <w:contextualSpacing/>
        <w:jc w:val="both"/>
        <w:rPr>
          <w:sz w:val="28"/>
          <w:szCs w:val="28"/>
          <w:lang w:eastAsia="en-US"/>
        </w:rPr>
      </w:pPr>
      <w:r w:rsidRPr="004E51D1">
        <w:rPr>
          <w:rFonts w:eastAsia="MS Mincho"/>
          <w:color w:val="000000"/>
          <w:sz w:val="28"/>
          <w:szCs w:val="28"/>
          <w:lang w:eastAsia="en-US"/>
        </w:rPr>
        <w:t xml:space="preserve">другие </w:t>
      </w:r>
      <w:proofErr w:type="spellStart"/>
      <w:r w:rsidRPr="004E51D1">
        <w:rPr>
          <w:rFonts w:eastAsia="MS Mincho"/>
          <w:color w:val="000000"/>
          <w:sz w:val="28"/>
          <w:szCs w:val="28"/>
          <w:lang w:eastAsia="en-US"/>
        </w:rPr>
        <w:t>тромболитики</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альтеплаза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ретеплаза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стрептокиназа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тенектеплаза</w:t>
      </w:r>
      <w:proofErr w:type="spellEnd"/>
      <w:r w:rsidRPr="004E51D1">
        <w:rPr>
          <w:rFonts w:eastAsia="MS Mincho"/>
          <w:color w:val="000000"/>
          <w:sz w:val="28"/>
          <w:szCs w:val="28"/>
          <w:lang w:eastAsia="en-US"/>
        </w:rPr>
        <w:t xml:space="preserve">, </w:t>
      </w:r>
      <w:proofErr w:type="spellStart"/>
      <w:r w:rsidRPr="004E51D1">
        <w:rPr>
          <w:rFonts w:eastAsia="MS Mincho"/>
          <w:color w:val="000000"/>
          <w:sz w:val="28"/>
          <w:szCs w:val="28"/>
          <w:lang w:eastAsia="en-US"/>
        </w:rPr>
        <w:t>урокиназа</w:t>
      </w:r>
      <w:proofErr w:type="spellEnd"/>
      <w:r w:rsidRPr="004E51D1">
        <w:rPr>
          <w:rFonts w:eastAsia="MS Mincho"/>
          <w:color w:val="000000"/>
          <w:sz w:val="28"/>
          <w:szCs w:val="28"/>
          <w:lang w:eastAsia="en-US"/>
        </w:rPr>
        <w:t>) и антикоагулянты.</w:t>
      </w:r>
    </w:p>
    <w:p w14:paraId="2801CB42" w14:textId="77777777" w:rsidR="00D47FE1" w:rsidRPr="004E51D1" w:rsidRDefault="00D47FE1" w:rsidP="003E7DD0">
      <w:pPr>
        <w:tabs>
          <w:tab w:val="left" w:pos="567"/>
        </w:tabs>
        <w:jc w:val="both"/>
        <w:rPr>
          <w:i/>
          <w:sz w:val="28"/>
          <w:szCs w:val="28"/>
          <w:u w:val="single"/>
          <w:lang w:eastAsia="hu-HU"/>
        </w:rPr>
      </w:pPr>
      <w:r w:rsidRPr="004E51D1">
        <w:rPr>
          <w:i/>
          <w:sz w:val="28"/>
          <w:szCs w:val="28"/>
          <w:u w:val="single"/>
          <w:lang w:eastAsia="hu-HU"/>
        </w:rPr>
        <w:t>Применение с осторожностью</w:t>
      </w:r>
    </w:p>
    <w:p w14:paraId="67DF7399" w14:textId="77777777" w:rsidR="00D47FE1" w:rsidRPr="004E51D1" w:rsidRDefault="00D47FE1" w:rsidP="003E7DD0">
      <w:pPr>
        <w:tabs>
          <w:tab w:val="left" w:pos="567"/>
        </w:tabs>
        <w:jc w:val="both"/>
        <w:rPr>
          <w:sz w:val="28"/>
          <w:szCs w:val="28"/>
          <w:lang w:eastAsia="hu-HU"/>
        </w:rPr>
      </w:pPr>
      <w:r w:rsidRPr="004E51D1">
        <w:rPr>
          <w:sz w:val="28"/>
          <w:szCs w:val="28"/>
          <w:lang w:eastAsia="hu-HU"/>
        </w:rPr>
        <w:t xml:space="preserve">Следующие препараты можно применять с осторожностью одновременно с </w:t>
      </w:r>
      <w:proofErr w:type="spellStart"/>
      <w:r w:rsidRPr="004E51D1">
        <w:rPr>
          <w:sz w:val="28"/>
          <w:szCs w:val="28"/>
          <w:lang w:eastAsia="hu-HU"/>
        </w:rPr>
        <w:t>эноксапарином</w:t>
      </w:r>
      <w:proofErr w:type="spellEnd"/>
      <w:r w:rsidRPr="004E51D1">
        <w:rPr>
          <w:sz w:val="28"/>
          <w:szCs w:val="28"/>
          <w:lang w:eastAsia="hu-HU"/>
        </w:rPr>
        <w:t xml:space="preserve"> натрия:</w:t>
      </w:r>
    </w:p>
    <w:p w14:paraId="02629F82" w14:textId="77777777" w:rsidR="00D47FE1" w:rsidRPr="004E51D1" w:rsidRDefault="00D47FE1" w:rsidP="003E7DD0">
      <w:pPr>
        <w:keepNext/>
        <w:tabs>
          <w:tab w:val="left" w:pos="567"/>
        </w:tabs>
        <w:contextualSpacing/>
        <w:jc w:val="both"/>
        <w:rPr>
          <w:i/>
          <w:sz w:val="28"/>
          <w:szCs w:val="28"/>
          <w:lang w:eastAsia="en-US"/>
        </w:rPr>
      </w:pPr>
      <w:r w:rsidRPr="004E51D1">
        <w:rPr>
          <w:i/>
          <w:sz w:val="28"/>
          <w:szCs w:val="28"/>
          <w:lang w:eastAsia="en-US"/>
        </w:rPr>
        <w:t>Другие препараты, влияющие на гемостаз:</w:t>
      </w:r>
    </w:p>
    <w:p w14:paraId="1C8DF96C" w14:textId="77777777" w:rsidR="00D47FE1" w:rsidRPr="004E51D1" w:rsidRDefault="00D47FE1" w:rsidP="003E7DD0">
      <w:pPr>
        <w:numPr>
          <w:ilvl w:val="0"/>
          <w:numId w:val="17"/>
        </w:numPr>
        <w:autoSpaceDE w:val="0"/>
        <w:autoSpaceDN w:val="0"/>
        <w:adjustRightInd w:val="0"/>
        <w:ind w:left="0" w:firstLine="426"/>
        <w:jc w:val="both"/>
        <w:rPr>
          <w:color w:val="000000"/>
          <w:sz w:val="28"/>
          <w:szCs w:val="28"/>
        </w:rPr>
      </w:pPr>
      <w:r w:rsidRPr="004E51D1">
        <w:rPr>
          <w:color w:val="000000"/>
          <w:sz w:val="28"/>
          <w:szCs w:val="28"/>
        </w:rPr>
        <w:t xml:space="preserve">ингибиторы агрегации тромбоцитов, в том числе ацетилсалициловая кислота в </w:t>
      </w:r>
      <w:proofErr w:type="spellStart"/>
      <w:r w:rsidRPr="004E51D1">
        <w:rPr>
          <w:color w:val="000000"/>
          <w:sz w:val="28"/>
          <w:szCs w:val="28"/>
        </w:rPr>
        <w:t>антиагрегантной</w:t>
      </w:r>
      <w:proofErr w:type="spellEnd"/>
      <w:r w:rsidRPr="004E51D1">
        <w:rPr>
          <w:color w:val="000000"/>
          <w:sz w:val="28"/>
          <w:szCs w:val="28"/>
        </w:rPr>
        <w:t xml:space="preserve"> дозе (</w:t>
      </w:r>
      <w:proofErr w:type="spellStart"/>
      <w:r w:rsidRPr="004E51D1">
        <w:rPr>
          <w:color w:val="000000"/>
          <w:sz w:val="28"/>
          <w:szCs w:val="28"/>
        </w:rPr>
        <w:t>кардиопротекция</w:t>
      </w:r>
      <w:proofErr w:type="spellEnd"/>
      <w:r w:rsidRPr="004E51D1">
        <w:rPr>
          <w:color w:val="000000"/>
          <w:sz w:val="28"/>
          <w:szCs w:val="28"/>
        </w:rPr>
        <w:t xml:space="preserve">), </w:t>
      </w:r>
      <w:proofErr w:type="spellStart"/>
      <w:r w:rsidRPr="004E51D1">
        <w:rPr>
          <w:color w:val="000000"/>
          <w:sz w:val="28"/>
          <w:szCs w:val="28"/>
        </w:rPr>
        <w:t>клопидогрел</w:t>
      </w:r>
      <w:proofErr w:type="spellEnd"/>
      <w:r w:rsidRPr="004E51D1">
        <w:rPr>
          <w:color w:val="000000"/>
          <w:sz w:val="28"/>
          <w:szCs w:val="28"/>
        </w:rPr>
        <w:t xml:space="preserve">, </w:t>
      </w:r>
      <w:proofErr w:type="spellStart"/>
      <w:r w:rsidRPr="004E51D1">
        <w:rPr>
          <w:color w:val="000000"/>
          <w:sz w:val="28"/>
          <w:szCs w:val="28"/>
        </w:rPr>
        <w:t>тиклопидин</w:t>
      </w:r>
      <w:proofErr w:type="spellEnd"/>
      <w:r w:rsidRPr="004E51D1">
        <w:rPr>
          <w:color w:val="000000"/>
          <w:sz w:val="28"/>
          <w:szCs w:val="28"/>
        </w:rPr>
        <w:t xml:space="preserve">, </w:t>
      </w:r>
      <w:proofErr w:type="spellStart"/>
      <w:r w:rsidRPr="004E51D1">
        <w:rPr>
          <w:color w:val="000000"/>
          <w:sz w:val="28"/>
          <w:szCs w:val="28"/>
        </w:rPr>
        <w:t>антогонисты</w:t>
      </w:r>
      <w:proofErr w:type="spellEnd"/>
      <w:r w:rsidRPr="004E51D1">
        <w:rPr>
          <w:color w:val="000000"/>
          <w:sz w:val="28"/>
          <w:szCs w:val="28"/>
        </w:rPr>
        <w:t xml:space="preserve"> </w:t>
      </w:r>
      <w:proofErr w:type="spellStart"/>
      <w:r w:rsidRPr="004E51D1">
        <w:rPr>
          <w:color w:val="000000"/>
          <w:sz w:val="28"/>
          <w:szCs w:val="28"/>
        </w:rPr>
        <w:t>гликопротеиновых</w:t>
      </w:r>
      <w:proofErr w:type="spellEnd"/>
      <w:r w:rsidRPr="004E51D1">
        <w:rPr>
          <w:color w:val="000000"/>
          <w:sz w:val="28"/>
          <w:szCs w:val="28"/>
        </w:rPr>
        <w:t xml:space="preserve"> рецепторов </w:t>
      </w:r>
      <w:r w:rsidRPr="004E51D1">
        <w:rPr>
          <w:color w:val="000000"/>
          <w:sz w:val="28"/>
          <w:szCs w:val="28"/>
          <w:lang w:val="en-US"/>
        </w:rPr>
        <w:t>IIb</w:t>
      </w:r>
      <w:r w:rsidRPr="004E51D1">
        <w:rPr>
          <w:color w:val="000000"/>
          <w:sz w:val="28"/>
          <w:szCs w:val="28"/>
        </w:rPr>
        <w:t>/</w:t>
      </w:r>
      <w:r w:rsidRPr="004E51D1">
        <w:rPr>
          <w:color w:val="000000"/>
          <w:sz w:val="28"/>
          <w:szCs w:val="28"/>
          <w:lang w:val="en-US"/>
        </w:rPr>
        <w:t>IIIa</w:t>
      </w:r>
      <w:r w:rsidRPr="004E51D1">
        <w:rPr>
          <w:color w:val="000000"/>
          <w:sz w:val="28"/>
          <w:szCs w:val="28"/>
        </w:rPr>
        <w:t>, показанные при остром коронарном синдроме в связи риском кровотечения</w:t>
      </w:r>
    </w:p>
    <w:p w14:paraId="0DA66ABF" w14:textId="77777777" w:rsidR="00D47FE1" w:rsidRPr="004E51D1" w:rsidRDefault="00D47FE1" w:rsidP="003E7DD0">
      <w:pPr>
        <w:keepNext/>
        <w:numPr>
          <w:ilvl w:val="0"/>
          <w:numId w:val="17"/>
        </w:numPr>
        <w:tabs>
          <w:tab w:val="left" w:pos="851"/>
        </w:tabs>
        <w:autoSpaceDE w:val="0"/>
        <w:autoSpaceDN w:val="0"/>
        <w:adjustRightInd w:val="0"/>
        <w:ind w:left="0" w:firstLine="426"/>
        <w:jc w:val="both"/>
        <w:rPr>
          <w:color w:val="000000"/>
          <w:sz w:val="28"/>
          <w:szCs w:val="28"/>
        </w:rPr>
      </w:pPr>
      <w:r w:rsidRPr="004E51D1">
        <w:rPr>
          <w:rFonts w:eastAsia="MS Mincho"/>
          <w:color w:val="000000"/>
          <w:sz w:val="28"/>
          <w:szCs w:val="28"/>
        </w:rPr>
        <w:t>декстран 40</w:t>
      </w:r>
    </w:p>
    <w:p w14:paraId="4459E8F1" w14:textId="77777777" w:rsidR="00D47FE1" w:rsidRPr="004E51D1" w:rsidRDefault="00D47FE1" w:rsidP="003E7DD0">
      <w:pPr>
        <w:keepNext/>
        <w:numPr>
          <w:ilvl w:val="0"/>
          <w:numId w:val="17"/>
        </w:numPr>
        <w:tabs>
          <w:tab w:val="left" w:pos="567"/>
          <w:tab w:val="left" w:pos="851"/>
        </w:tabs>
        <w:autoSpaceDE w:val="0"/>
        <w:autoSpaceDN w:val="0"/>
        <w:adjustRightInd w:val="0"/>
        <w:ind w:left="0" w:firstLine="426"/>
        <w:jc w:val="both"/>
        <w:rPr>
          <w:i/>
          <w:color w:val="000000"/>
          <w:sz w:val="28"/>
          <w:szCs w:val="28"/>
        </w:rPr>
      </w:pPr>
      <w:r w:rsidRPr="004E51D1">
        <w:rPr>
          <w:rFonts w:eastAsia="MS Mincho"/>
          <w:color w:val="000000"/>
          <w:sz w:val="28"/>
          <w:szCs w:val="28"/>
        </w:rPr>
        <w:t>системные глюкокортикоиды</w:t>
      </w:r>
    </w:p>
    <w:p w14:paraId="484A514C" w14:textId="77777777" w:rsidR="00D47FE1" w:rsidRPr="004E51D1" w:rsidRDefault="00D47FE1" w:rsidP="003E7DD0">
      <w:pPr>
        <w:keepNext/>
        <w:tabs>
          <w:tab w:val="left" w:pos="567"/>
          <w:tab w:val="left" w:pos="851"/>
        </w:tabs>
        <w:autoSpaceDE w:val="0"/>
        <w:autoSpaceDN w:val="0"/>
        <w:adjustRightInd w:val="0"/>
        <w:jc w:val="both"/>
        <w:rPr>
          <w:i/>
          <w:color w:val="000000"/>
          <w:sz w:val="28"/>
          <w:szCs w:val="28"/>
        </w:rPr>
      </w:pPr>
      <w:r w:rsidRPr="004E51D1">
        <w:rPr>
          <w:i/>
          <w:color w:val="000000"/>
          <w:sz w:val="28"/>
          <w:szCs w:val="28"/>
        </w:rPr>
        <w:t>Препараты, увеличивающие уровни калия:</w:t>
      </w:r>
    </w:p>
    <w:p w14:paraId="661DB217" w14:textId="77777777" w:rsidR="00D47FE1" w:rsidRPr="004E51D1" w:rsidRDefault="00D47FE1" w:rsidP="003E7DD0">
      <w:pPr>
        <w:autoSpaceDE w:val="0"/>
        <w:autoSpaceDN w:val="0"/>
        <w:adjustRightInd w:val="0"/>
        <w:jc w:val="both"/>
        <w:rPr>
          <w:color w:val="000000"/>
          <w:sz w:val="28"/>
          <w:szCs w:val="28"/>
        </w:rPr>
      </w:pPr>
      <w:r w:rsidRPr="004E51D1">
        <w:rPr>
          <w:color w:val="000000"/>
          <w:sz w:val="28"/>
          <w:szCs w:val="28"/>
        </w:rPr>
        <w:t xml:space="preserve">препараты, увеличивающие уровни калия в сыворотке, можно применять одновременно с </w:t>
      </w:r>
      <w:proofErr w:type="spellStart"/>
      <w:r w:rsidRPr="004E51D1">
        <w:rPr>
          <w:color w:val="000000"/>
          <w:sz w:val="28"/>
          <w:szCs w:val="28"/>
        </w:rPr>
        <w:t>эноксапарином</w:t>
      </w:r>
      <w:proofErr w:type="spellEnd"/>
      <w:r w:rsidRPr="004E51D1">
        <w:rPr>
          <w:color w:val="000000"/>
          <w:sz w:val="28"/>
          <w:szCs w:val="28"/>
        </w:rPr>
        <w:t xml:space="preserve"> натрия под тщательным клиническим</w:t>
      </w:r>
      <w:r w:rsidRPr="004E51D1">
        <w:rPr>
          <w:color w:val="000000"/>
          <w:sz w:val="20"/>
        </w:rPr>
        <w:t xml:space="preserve"> </w:t>
      </w:r>
      <w:r w:rsidRPr="004E51D1">
        <w:rPr>
          <w:color w:val="000000"/>
          <w:sz w:val="28"/>
          <w:szCs w:val="28"/>
        </w:rPr>
        <w:t>наблюдением и контролем лабораторных показателей.</w:t>
      </w:r>
    </w:p>
    <w:p w14:paraId="1C460243" w14:textId="77777777" w:rsidR="002E327C" w:rsidRPr="004E51D1" w:rsidRDefault="002E327C" w:rsidP="003E7DD0">
      <w:pPr>
        <w:jc w:val="both"/>
        <w:rPr>
          <w:b/>
          <w:bCs/>
          <w:i/>
          <w:sz w:val="28"/>
          <w:szCs w:val="28"/>
          <w:lang w:eastAsia="en-US"/>
        </w:rPr>
      </w:pPr>
      <w:r w:rsidRPr="004E51D1">
        <w:rPr>
          <w:b/>
          <w:bCs/>
          <w:i/>
          <w:sz w:val="28"/>
          <w:szCs w:val="28"/>
          <w:lang w:eastAsia="en-US"/>
        </w:rPr>
        <w:t>Специальные предупреждения</w:t>
      </w:r>
    </w:p>
    <w:p w14:paraId="44D17904" w14:textId="77777777" w:rsidR="00D47FE1" w:rsidRPr="004E51D1" w:rsidRDefault="00D47FE1" w:rsidP="003E7DD0">
      <w:pPr>
        <w:jc w:val="both"/>
        <w:rPr>
          <w:i/>
          <w:sz w:val="28"/>
          <w:szCs w:val="28"/>
          <w:lang w:eastAsia="en-US"/>
        </w:rPr>
      </w:pPr>
      <w:r w:rsidRPr="004E51D1">
        <w:rPr>
          <w:i/>
          <w:sz w:val="28"/>
          <w:szCs w:val="28"/>
          <w:lang w:eastAsia="en-US"/>
        </w:rPr>
        <w:t>Общая информация</w:t>
      </w:r>
    </w:p>
    <w:p w14:paraId="331C5C88"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запрещается использовать в порядке взаимозаменяемости (единица на единицу) с другими низкомолекулярными гепаринами. Эти лекарственные препараты различаются по процессу производства, молекулярной массе, специфической анти-Ха активности и анти-</w:t>
      </w:r>
      <w:proofErr w:type="spellStart"/>
      <w:r w:rsidRPr="004E51D1">
        <w:rPr>
          <w:sz w:val="28"/>
          <w:szCs w:val="28"/>
          <w:lang w:eastAsia="en-US"/>
        </w:rPr>
        <w:t>IIa</w:t>
      </w:r>
      <w:proofErr w:type="spellEnd"/>
      <w:r w:rsidRPr="004E51D1">
        <w:rPr>
          <w:sz w:val="28"/>
          <w:szCs w:val="28"/>
          <w:lang w:eastAsia="en-US"/>
        </w:rPr>
        <w:t xml:space="preserve"> активности, единицам дозирования, режиму дозирования и клинической эффективности и безопасности. Это ведет к различиям в их фармакокинетике и биологической активности (</w:t>
      </w:r>
      <w:proofErr w:type="spellStart"/>
      <w:r w:rsidRPr="004E51D1">
        <w:rPr>
          <w:sz w:val="28"/>
          <w:szCs w:val="28"/>
          <w:lang w:eastAsia="en-US"/>
        </w:rPr>
        <w:t>антитромбиновая</w:t>
      </w:r>
      <w:proofErr w:type="spellEnd"/>
      <w:r w:rsidRPr="004E51D1">
        <w:rPr>
          <w:sz w:val="28"/>
          <w:szCs w:val="28"/>
          <w:lang w:eastAsia="en-US"/>
        </w:rPr>
        <w:t xml:space="preserve"> активность и взаимодействие с тромбоцитами). Поэтому требуется особое внимание и соблюдение инструкций по применению, специфичных для каждого лекарственного препарата.  </w:t>
      </w:r>
    </w:p>
    <w:p w14:paraId="62168B38" w14:textId="77777777" w:rsidR="00D47FE1" w:rsidRPr="004E51D1" w:rsidRDefault="00D47FE1" w:rsidP="003E7DD0">
      <w:pPr>
        <w:jc w:val="both"/>
        <w:rPr>
          <w:sz w:val="28"/>
          <w:szCs w:val="28"/>
          <w:u w:val="single"/>
          <w:lang w:eastAsia="en-US"/>
        </w:rPr>
      </w:pPr>
      <w:r w:rsidRPr="004E51D1">
        <w:rPr>
          <w:sz w:val="28"/>
          <w:szCs w:val="28"/>
          <w:u w:val="single"/>
          <w:lang w:eastAsia="en-US"/>
        </w:rPr>
        <w:t>Гепарин-индуцированная тромбоцитопения в анамнезе (&gt;100 дней)</w:t>
      </w:r>
    </w:p>
    <w:p w14:paraId="15E7DDEE" w14:textId="77777777" w:rsidR="00D47FE1" w:rsidRPr="004E51D1" w:rsidRDefault="00D47FE1" w:rsidP="003E7DD0">
      <w:pPr>
        <w:jc w:val="both"/>
        <w:rPr>
          <w:sz w:val="28"/>
          <w:szCs w:val="28"/>
          <w:lang w:eastAsia="en-US"/>
        </w:rPr>
      </w:pPr>
      <w:r w:rsidRPr="004E51D1">
        <w:rPr>
          <w:sz w:val="28"/>
          <w:szCs w:val="28"/>
          <w:lang w:eastAsia="en-US"/>
        </w:rPr>
        <w:t xml:space="preserve">Применение </w:t>
      </w:r>
      <w:proofErr w:type="spellStart"/>
      <w:r w:rsidRPr="004E51D1">
        <w:rPr>
          <w:sz w:val="28"/>
          <w:szCs w:val="28"/>
          <w:lang w:eastAsia="en-US"/>
        </w:rPr>
        <w:t>эноксапарина</w:t>
      </w:r>
      <w:proofErr w:type="spellEnd"/>
      <w:r w:rsidRPr="004E51D1">
        <w:rPr>
          <w:sz w:val="28"/>
          <w:szCs w:val="28"/>
          <w:lang w:eastAsia="en-US"/>
        </w:rPr>
        <w:t xml:space="preserve"> натрия у пациентов с </w:t>
      </w:r>
      <w:proofErr w:type="spellStart"/>
      <w:r w:rsidRPr="004E51D1">
        <w:rPr>
          <w:sz w:val="28"/>
          <w:szCs w:val="28"/>
          <w:lang w:eastAsia="en-US"/>
        </w:rPr>
        <w:t>иммуноопосредованной</w:t>
      </w:r>
      <w:proofErr w:type="spellEnd"/>
      <w:r w:rsidRPr="004E51D1">
        <w:rPr>
          <w:sz w:val="28"/>
          <w:szCs w:val="28"/>
          <w:lang w:eastAsia="en-US"/>
        </w:rPr>
        <w:t xml:space="preserve"> гепарин-индуцированной тромбоцитопенией в анамнезе в течение последних 100 дней или при наличии циркулирующих антител </w:t>
      </w:r>
      <w:r w:rsidRPr="004E51D1">
        <w:rPr>
          <w:sz w:val="28"/>
          <w:szCs w:val="28"/>
          <w:lang w:eastAsia="en-US"/>
        </w:rPr>
        <w:lastRenderedPageBreak/>
        <w:t>противопоказано. Циркулирующие антитела могут сохраняться в течение нескольких лет.</w:t>
      </w:r>
    </w:p>
    <w:p w14:paraId="7B39AD3A" w14:textId="77777777" w:rsidR="00D47FE1" w:rsidRPr="004E51D1" w:rsidRDefault="00D47FE1" w:rsidP="003E7DD0">
      <w:pPr>
        <w:jc w:val="both"/>
        <w:rPr>
          <w:sz w:val="28"/>
          <w:szCs w:val="28"/>
          <w:lang w:eastAsia="en-US"/>
        </w:rPr>
      </w:pPr>
      <w:r w:rsidRPr="004E51D1">
        <w:rPr>
          <w:bCs/>
          <w:sz w:val="28"/>
          <w:szCs w:val="28"/>
          <w:lang w:eastAsia="en-US"/>
        </w:rPr>
        <w:t xml:space="preserve">С особой осторожностью </w:t>
      </w:r>
      <w:proofErr w:type="spellStart"/>
      <w:r w:rsidRPr="004E51D1">
        <w:rPr>
          <w:bCs/>
          <w:sz w:val="28"/>
          <w:szCs w:val="28"/>
          <w:lang w:eastAsia="en-US"/>
        </w:rPr>
        <w:t>эноксапарин</w:t>
      </w:r>
      <w:proofErr w:type="spellEnd"/>
      <w:r w:rsidRPr="004E51D1">
        <w:rPr>
          <w:bCs/>
          <w:sz w:val="28"/>
          <w:szCs w:val="28"/>
          <w:lang w:eastAsia="en-US"/>
        </w:rPr>
        <w:t xml:space="preserve"> натрия следует применять у пациентов, в анамнезе которых имеются сведения о гепарин-индуцированной тромбоцитопении (&gt;100 дней) без циркулирующих антител. Решение о применении </w:t>
      </w:r>
      <w:proofErr w:type="spellStart"/>
      <w:r w:rsidRPr="004E51D1">
        <w:rPr>
          <w:bCs/>
          <w:sz w:val="28"/>
          <w:szCs w:val="28"/>
          <w:lang w:eastAsia="en-US"/>
        </w:rPr>
        <w:t>эноксапарина</w:t>
      </w:r>
      <w:proofErr w:type="spellEnd"/>
      <w:r w:rsidRPr="004E51D1">
        <w:rPr>
          <w:bCs/>
          <w:sz w:val="28"/>
          <w:szCs w:val="28"/>
          <w:lang w:eastAsia="en-US"/>
        </w:rPr>
        <w:t xml:space="preserve"> натрия в таком случае должно приниматься только после тщательной оценки соотношения пользы и риска и после</w:t>
      </w:r>
      <w:r w:rsidRPr="004E51D1">
        <w:rPr>
          <w:sz w:val="28"/>
          <w:szCs w:val="28"/>
          <w:lang w:eastAsia="en-US"/>
        </w:rPr>
        <w:t xml:space="preserve"> рассмотрения возможности альтернативных </w:t>
      </w:r>
      <w:proofErr w:type="spellStart"/>
      <w:r w:rsidRPr="004E51D1">
        <w:rPr>
          <w:sz w:val="28"/>
          <w:szCs w:val="28"/>
          <w:lang w:eastAsia="en-US"/>
        </w:rPr>
        <w:t>негепариновых</w:t>
      </w:r>
      <w:proofErr w:type="spellEnd"/>
      <w:r w:rsidRPr="004E51D1">
        <w:rPr>
          <w:sz w:val="28"/>
          <w:szCs w:val="28"/>
          <w:lang w:eastAsia="en-US"/>
        </w:rPr>
        <w:t xml:space="preserve"> терапий (например, </w:t>
      </w:r>
      <w:proofErr w:type="spellStart"/>
      <w:r w:rsidRPr="004E51D1">
        <w:rPr>
          <w:sz w:val="28"/>
          <w:szCs w:val="28"/>
          <w:lang w:eastAsia="en-US"/>
        </w:rPr>
        <w:t>данапароид</w:t>
      </w:r>
      <w:proofErr w:type="spellEnd"/>
      <w:r w:rsidRPr="004E51D1">
        <w:rPr>
          <w:sz w:val="28"/>
          <w:szCs w:val="28"/>
          <w:lang w:eastAsia="en-US"/>
        </w:rPr>
        <w:t xml:space="preserve"> натрия или </w:t>
      </w:r>
      <w:proofErr w:type="spellStart"/>
      <w:r w:rsidRPr="004E51D1">
        <w:rPr>
          <w:sz w:val="28"/>
          <w:szCs w:val="28"/>
          <w:lang w:eastAsia="en-US"/>
        </w:rPr>
        <w:t>лепирудин</w:t>
      </w:r>
      <w:proofErr w:type="spellEnd"/>
      <w:r w:rsidRPr="004E51D1">
        <w:rPr>
          <w:sz w:val="28"/>
          <w:szCs w:val="28"/>
          <w:lang w:eastAsia="en-US"/>
        </w:rPr>
        <w:t>).</w:t>
      </w:r>
    </w:p>
    <w:p w14:paraId="6EB78BFE" w14:textId="77777777" w:rsidR="00D47FE1" w:rsidRPr="004E51D1" w:rsidRDefault="00D47FE1" w:rsidP="003E7DD0">
      <w:pPr>
        <w:jc w:val="both"/>
        <w:rPr>
          <w:sz w:val="28"/>
          <w:szCs w:val="28"/>
          <w:u w:val="single"/>
          <w:lang w:eastAsia="en-US"/>
        </w:rPr>
      </w:pPr>
      <w:r w:rsidRPr="004E51D1">
        <w:rPr>
          <w:sz w:val="28"/>
          <w:szCs w:val="28"/>
          <w:u w:val="single"/>
          <w:lang w:eastAsia="en-US"/>
        </w:rPr>
        <w:t>Контроль количества тромбоцитов</w:t>
      </w:r>
    </w:p>
    <w:p w14:paraId="12828E48" w14:textId="77777777" w:rsidR="00D47FE1" w:rsidRPr="004E51D1" w:rsidRDefault="00D47FE1" w:rsidP="003E7DD0">
      <w:pPr>
        <w:jc w:val="both"/>
        <w:rPr>
          <w:sz w:val="28"/>
          <w:szCs w:val="28"/>
          <w:lang w:eastAsia="en-US"/>
        </w:rPr>
      </w:pPr>
      <w:r w:rsidRPr="004E51D1">
        <w:rPr>
          <w:sz w:val="28"/>
          <w:szCs w:val="28"/>
          <w:lang w:eastAsia="en-US"/>
        </w:rPr>
        <w:t xml:space="preserve">При введении низкомолекулярных гепаринов также существует риск антитело-опосредованной </w:t>
      </w:r>
      <w:r w:rsidRPr="004E51D1">
        <w:rPr>
          <w:bCs/>
          <w:sz w:val="28"/>
          <w:szCs w:val="28"/>
          <w:lang w:eastAsia="en-US"/>
        </w:rPr>
        <w:t>гепарин-индуцированной тромбоцитопении. Как правило, тромбоцитопения возникает в период между 5-м и 21-м днями после начала лечения</w:t>
      </w:r>
      <w:r w:rsidRPr="004E51D1">
        <w:rPr>
          <w:sz w:val="28"/>
          <w:szCs w:val="28"/>
          <w:lang w:eastAsia="en-US"/>
        </w:rPr>
        <w:t xml:space="preserve"> </w:t>
      </w:r>
      <w:proofErr w:type="spellStart"/>
      <w:r w:rsidRPr="004E51D1">
        <w:rPr>
          <w:sz w:val="28"/>
          <w:szCs w:val="28"/>
          <w:lang w:eastAsia="en-US"/>
        </w:rPr>
        <w:t>эноксапарином</w:t>
      </w:r>
      <w:proofErr w:type="spellEnd"/>
      <w:r w:rsidRPr="004E51D1">
        <w:rPr>
          <w:sz w:val="28"/>
          <w:szCs w:val="28"/>
          <w:lang w:eastAsia="en-US"/>
        </w:rPr>
        <w:t xml:space="preserve"> натрия. </w:t>
      </w:r>
    </w:p>
    <w:p w14:paraId="35990F23" w14:textId="77777777" w:rsidR="00D47FE1" w:rsidRPr="004E51D1" w:rsidRDefault="00D47FE1" w:rsidP="003E7DD0">
      <w:pPr>
        <w:jc w:val="both"/>
        <w:rPr>
          <w:sz w:val="28"/>
          <w:szCs w:val="28"/>
          <w:lang w:eastAsia="en-US"/>
        </w:rPr>
      </w:pPr>
      <w:r w:rsidRPr="004E51D1">
        <w:rPr>
          <w:bCs/>
          <w:sz w:val="28"/>
          <w:szCs w:val="28"/>
          <w:lang w:eastAsia="en-US"/>
        </w:rPr>
        <w:t xml:space="preserve">Риск гепарин-индуцированной тромбоцитопении выше у послеоперационных пациентов, преимущественно после операции на сердце и у пациентов со </w:t>
      </w:r>
      <w:r w:rsidRPr="004E51D1">
        <w:rPr>
          <w:sz w:val="28"/>
          <w:szCs w:val="28"/>
          <w:lang w:eastAsia="en-US"/>
        </w:rPr>
        <w:t>злокачественным новообразованием.</w:t>
      </w:r>
    </w:p>
    <w:p w14:paraId="4BE68748" w14:textId="77777777" w:rsidR="00D47FE1" w:rsidRPr="004E51D1" w:rsidRDefault="00D47FE1" w:rsidP="003E7DD0">
      <w:pPr>
        <w:jc w:val="both"/>
        <w:rPr>
          <w:sz w:val="28"/>
          <w:szCs w:val="28"/>
          <w:lang w:eastAsia="en-US"/>
        </w:rPr>
      </w:pPr>
      <w:r w:rsidRPr="004E51D1">
        <w:rPr>
          <w:sz w:val="28"/>
          <w:szCs w:val="28"/>
          <w:lang w:eastAsia="en-US"/>
        </w:rPr>
        <w:t xml:space="preserve">Поэтому, рекомендуется измерять количество тромбоцитов до начала терапии </w:t>
      </w:r>
      <w:proofErr w:type="spellStart"/>
      <w:r w:rsidRPr="004E51D1">
        <w:rPr>
          <w:sz w:val="28"/>
          <w:szCs w:val="28"/>
          <w:lang w:eastAsia="en-US"/>
        </w:rPr>
        <w:t>эноксапарином</w:t>
      </w:r>
      <w:proofErr w:type="spellEnd"/>
      <w:r w:rsidRPr="004E51D1">
        <w:rPr>
          <w:sz w:val="28"/>
          <w:szCs w:val="28"/>
          <w:lang w:eastAsia="en-US"/>
        </w:rPr>
        <w:t xml:space="preserve"> натрия и далее регулярно во время лечения.</w:t>
      </w:r>
    </w:p>
    <w:p w14:paraId="65E0BFA1" w14:textId="77777777" w:rsidR="00D47FE1" w:rsidRPr="004E51D1" w:rsidRDefault="00D47FE1" w:rsidP="003E7DD0">
      <w:pPr>
        <w:jc w:val="both"/>
        <w:rPr>
          <w:sz w:val="28"/>
          <w:szCs w:val="28"/>
          <w:lang w:eastAsia="en-US"/>
        </w:rPr>
      </w:pPr>
      <w:r w:rsidRPr="004E51D1">
        <w:rPr>
          <w:sz w:val="28"/>
          <w:szCs w:val="28"/>
          <w:lang w:eastAsia="en-US"/>
        </w:rPr>
        <w:t>При наличии клинических симптомов, указывающих на</w:t>
      </w:r>
      <w:r w:rsidRPr="004E51D1">
        <w:rPr>
          <w:bCs/>
          <w:sz w:val="28"/>
          <w:szCs w:val="28"/>
          <w:lang w:eastAsia="en-US"/>
        </w:rPr>
        <w:t xml:space="preserve"> гепарин-индуцированную тромбоцитопению</w:t>
      </w:r>
      <w:r w:rsidRPr="004E51D1">
        <w:rPr>
          <w:sz w:val="28"/>
          <w:szCs w:val="28"/>
          <w:lang w:eastAsia="en-US"/>
        </w:rPr>
        <w:t xml:space="preserve"> (любой новый эпизод артериального и/или венозного тромбоэмболии, любое болезненное поражение кожи на месте введения, любые аллергические или анафилактические реакции на лечение), необходимо измерить количество тромбоцитов. Пациенты должны быть осведомлены о том, что эти симптомы могут возникнуть, </w:t>
      </w:r>
      <w:proofErr w:type="gramStart"/>
      <w:r w:rsidRPr="004E51D1">
        <w:rPr>
          <w:sz w:val="28"/>
          <w:szCs w:val="28"/>
          <w:lang w:eastAsia="en-US"/>
        </w:rPr>
        <w:t>и</w:t>
      </w:r>
      <w:proofErr w:type="gramEnd"/>
      <w:r w:rsidRPr="004E51D1">
        <w:rPr>
          <w:sz w:val="28"/>
          <w:szCs w:val="28"/>
          <w:lang w:eastAsia="en-US"/>
        </w:rPr>
        <w:t xml:space="preserve"> если они возникнут, пациенты должны сообщить об этом своему лечащему врачу.</w:t>
      </w:r>
    </w:p>
    <w:p w14:paraId="7A246198" w14:textId="77777777" w:rsidR="00D47FE1" w:rsidRPr="004E51D1" w:rsidRDefault="00D47FE1" w:rsidP="003E7DD0">
      <w:pPr>
        <w:jc w:val="both"/>
        <w:rPr>
          <w:sz w:val="28"/>
          <w:szCs w:val="28"/>
          <w:lang w:eastAsia="en-US"/>
        </w:rPr>
      </w:pPr>
      <w:r w:rsidRPr="004E51D1">
        <w:rPr>
          <w:sz w:val="28"/>
          <w:szCs w:val="28"/>
          <w:lang w:eastAsia="en-US"/>
        </w:rPr>
        <w:t xml:space="preserve">На практике, если имеет место подтвержденное значительное снижение количества тромбоцитов (30-50 % от первоначального значения), лечение </w:t>
      </w:r>
      <w:proofErr w:type="spellStart"/>
      <w:r w:rsidRPr="004E51D1">
        <w:rPr>
          <w:sz w:val="28"/>
          <w:szCs w:val="28"/>
          <w:lang w:eastAsia="en-US"/>
        </w:rPr>
        <w:t>эноксапарином</w:t>
      </w:r>
      <w:proofErr w:type="spellEnd"/>
      <w:r w:rsidRPr="004E51D1">
        <w:rPr>
          <w:sz w:val="28"/>
          <w:szCs w:val="28"/>
          <w:lang w:eastAsia="en-US"/>
        </w:rPr>
        <w:t xml:space="preserve"> натрия следует немедленно прекратить и перевести пациента на другую альтернативную терапию </w:t>
      </w:r>
      <w:proofErr w:type="spellStart"/>
      <w:r w:rsidRPr="004E51D1">
        <w:rPr>
          <w:sz w:val="28"/>
          <w:szCs w:val="28"/>
          <w:lang w:eastAsia="en-US"/>
        </w:rPr>
        <w:t>негепариновыми</w:t>
      </w:r>
      <w:proofErr w:type="spellEnd"/>
      <w:r w:rsidRPr="004E51D1">
        <w:rPr>
          <w:sz w:val="28"/>
          <w:szCs w:val="28"/>
          <w:lang w:eastAsia="en-US"/>
        </w:rPr>
        <w:t xml:space="preserve"> антикоагулянтами.</w:t>
      </w:r>
    </w:p>
    <w:p w14:paraId="60C109D0" w14:textId="77777777" w:rsidR="00D47FE1" w:rsidRPr="004E51D1" w:rsidRDefault="00D47FE1" w:rsidP="003E7DD0">
      <w:pPr>
        <w:jc w:val="both"/>
        <w:rPr>
          <w:sz w:val="28"/>
          <w:szCs w:val="28"/>
          <w:u w:val="single"/>
          <w:lang w:eastAsia="en-US"/>
        </w:rPr>
      </w:pPr>
      <w:r w:rsidRPr="004E51D1">
        <w:rPr>
          <w:sz w:val="28"/>
          <w:szCs w:val="28"/>
          <w:u w:val="single"/>
          <w:lang w:eastAsia="en-US"/>
        </w:rPr>
        <w:t>Кровотечение</w:t>
      </w:r>
    </w:p>
    <w:p w14:paraId="68A26BAB" w14:textId="77777777" w:rsidR="00D47FE1" w:rsidRPr="004E51D1" w:rsidRDefault="00D47FE1" w:rsidP="003E7DD0">
      <w:pPr>
        <w:jc w:val="both"/>
        <w:rPr>
          <w:bCs/>
          <w:sz w:val="28"/>
          <w:szCs w:val="28"/>
          <w:lang w:eastAsia="en-US"/>
        </w:rPr>
      </w:pPr>
      <w:r w:rsidRPr="004E51D1">
        <w:rPr>
          <w:bCs/>
          <w:sz w:val="28"/>
          <w:szCs w:val="28"/>
          <w:lang w:eastAsia="en-US"/>
        </w:rPr>
        <w:t>Как и при применении других антикоагулянтов, возможно развитие кровотечений любой локализации. При развитии кровотечения необходимо найти его источник и провести соответствующее лечение.</w:t>
      </w:r>
    </w:p>
    <w:p w14:paraId="3A0969AB" w14:textId="77777777" w:rsidR="00D47FE1" w:rsidRPr="004E51D1" w:rsidRDefault="00D47FE1" w:rsidP="003E7DD0">
      <w:pPr>
        <w:jc w:val="both"/>
        <w:rPr>
          <w:sz w:val="28"/>
          <w:szCs w:val="28"/>
          <w:lang w:eastAsia="en-US"/>
        </w:rPr>
      </w:pPr>
      <w:r w:rsidRPr="004E51D1">
        <w:rPr>
          <w:bCs/>
          <w:sz w:val="28"/>
          <w:szCs w:val="28"/>
          <w:lang w:eastAsia="en-US"/>
        </w:rPr>
        <w:t xml:space="preserve">Как и при любой антикоагулянтной терапии, </w:t>
      </w:r>
      <w:proofErr w:type="spellStart"/>
      <w:r w:rsidRPr="004E51D1">
        <w:rPr>
          <w:sz w:val="28"/>
          <w:szCs w:val="28"/>
          <w:lang w:eastAsia="en-US"/>
        </w:rPr>
        <w:t>эноксапарин</w:t>
      </w:r>
      <w:proofErr w:type="spellEnd"/>
      <w:r w:rsidRPr="004E51D1">
        <w:rPr>
          <w:sz w:val="28"/>
          <w:szCs w:val="28"/>
          <w:lang w:eastAsia="en-US"/>
        </w:rPr>
        <w:t xml:space="preserve"> натрия</w:t>
      </w:r>
      <w:r w:rsidRPr="004E51D1">
        <w:rPr>
          <w:bCs/>
          <w:sz w:val="28"/>
          <w:szCs w:val="28"/>
          <w:lang w:eastAsia="en-US"/>
        </w:rPr>
        <w:t xml:space="preserve"> следует применять с осторожностью при следующих состояниях с повышенной вероятностью кровотечения</w:t>
      </w:r>
      <w:r w:rsidRPr="004E51D1">
        <w:rPr>
          <w:sz w:val="28"/>
          <w:szCs w:val="28"/>
          <w:lang w:eastAsia="en-US"/>
        </w:rPr>
        <w:t>:</w:t>
      </w:r>
    </w:p>
    <w:p w14:paraId="1627AA34" w14:textId="77777777" w:rsidR="00D47FE1" w:rsidRPr="004E51D1" w:rsidRDefault="00D47FE1" w:rsidP="003E7DD0">
      <w:pPr>
        <w:jc w:val="both"/>
        <w:rPr>
          <w:bCs/>
          <w:sz w:val="28"/>
          <w:szCs w:val="28"/>
          <w:lang w:eastAsia="en-US"/>
        </w:rPr>
      </w:pPr>
      <w:r w:rsidRPr="004E51D1">
        <w:rPr>
          <w:sz w:val="28"/>
          <w:szCs w:val="28"/>
          <w:lang w:eastAsia="en-US"/>
        </w:rPr>
        <w:t>нарушение гемостаза</w:t>
      </w:r>
    </w:p>
    <w:p w14:paraId="0AB941A5"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пептическая язва в анамнезе</w:t>
      </w:r>
    </w:p>
    <w:p w14:paraId="001805A0"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недавно перенесенный ишемический инсульт</w:t>
      </w:r>
    </w:p>
    <w:p w14:paraId="349C84D2"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тяжелая артериальная гипертензия</w:t>
      </w:r>
    </w:p>
    <w:p w14:paraId="73A040E2"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t>недавно перенесенная диабетическая ретинопатия</w:t>
      </w:r>
    </w:p>
    <w:p w14:paraId="65E60859" w14:textId="77777777" w:rsidR="00D47FE1" w:rsidRPr="004E51D1" w:rsidRDefault="00D47FE1" w:rsidP="00CC4A6A">
      <w:pPr>
        <w:numPr>
          <w:ilvl w:val="0"/>
          <w:numId w:val="19"/>
        </w:numPr>
        <w:jc w:val="both"/>
        <w:rPr>
          <w:sz w:val="28"/>
          <w:szCs w:val="28"/>
          <w:lang w:eastAsia="en-US"/>
        </w:rPr>
      </w:pPr>
      <w:r w:rsidRPr="004E51D1">
        <w:rPr>
          <w:sz w:val="28"/>
          <w:szCs w:val="28"/>
          <w:lang w:eastAsia="en-US"/>
        </w:rPr>
        <w:lastRenderedPageBreak/>
        <w:t>неврологическая или офтальмологическая операция</w:t>
      </w:r>
    </w:p>
    <w:p w14:paraId="44DB2E0D" w14:textId="77777777" w:rsidR="00CC4A6A" w:rsidRPr="004E51D1" w:rsidRDefault="00D47FE1" w:rsidP="00CC4A6A">
      <w:pPr>
        <w:numPr>
          <w:ilvl w:val="0"/>
          <w:numId w:val="19"/>
        </w:numPr>
        <w:jc w:val="both"/>
        <w:rPr>
          <w:sz w:val="28"/>
          <w:szCs w:val="28"/>
          <w:u w:val="single"/>
          <w:lang w:eastAsia="en-US"/>
        </w:rPr>
      </w:pPr>
      <w:r w:rsidRPr="004E51D1">
        <w:rPr>
          <w:sz w:val="28"/>
          <w:szCs w:val="28"/>
          <w:lang w:eastAsia="en-US"/>
        </w:rPr>
        <w:t>одновременный прием препаратов, влияющих на систему гемостаза</w:t>
      </w:r>
    </w:p>
    <w:p w14:paraId="27827BE5" w14:textId="77777777" w:rsidR="00D47FE1" w:rsidRPr="004E51D1" w:rsidRDefault="00D47FE1" w:rsidP="00CC4A6A">
      <w:pPr>
        <w:jc w:val="both"/>
        <w:rPr>
          <w:sz w:val="28"/>
          <w:szCs w:val="28"/>
          <w:u w:val="single"/>
          <w:lang w:eastAsia="en-US"/>
        </w:rPr>
      </w:pPr>
      <w:r w:rsidRPr="004E51D1">
        <w:rPr>
          <w:sz w:val="28"/>
          <w:szCs w:val="28"/>
          <w:u w:val="single"/>
          <w:lang w:eastAsia="en-US"/>
        </w:rPr>
        <w:t>Лабораторные тесты</w:t>
      </w:r>
    </w:p>
    <w:p w14:paraId="53D7CB7E" w14:textId="77777777" w:rsidR="00D47FE1" w:rsidRPr="004E51D1" w:rsidRDefault="00D47FE1" w:rsidP="003E7DD0">
      <w:pPr>
        <w:jc w:val="both"/>
        <w:rPr>
          <w:sz w:val="28"/>
          <w:szCs w:val="28"/>
          <w:lang w:eastAsia="en-US"/>
        </w:rPr>
      </w:pPr>
      <w:r w:rsidRPr="004E51D1">
        <w:rPr>
          <w:sz w:val="28"/>
          <w:szCs w:val="28"/>
          <w:lang w:eastAsia="en-US"/>
        </w:rPr>
        <w:t xml:space="preserve">В дозах, применяемых для профилактики венозной тромбоэмболии, </w:t>
      </w:r>
      <w:proofErr w:type="spellStart"/>
      <w:r w:rsidRPr="004E51D1">
        <w:rPr>
          <w:sz w:val="28"/>
          <w:szCs w:val="28"/>
          <w:lang w:eastAsia="en-US"/>
        </w:rPr>
        <w:t>эноксапарин</w:t>
      </w:r>
      <w:proofErr w:type="spellEnd"/>
      <w:r w:rsidRPr="004E51D1">
        <w:rPr>
          <w:sz w:val="28"/>
          <w:szCs w:val="28"/>
          <w:lang w:eastAsia="en-US"/>
        </w:rPr>
        <w:t xml:space="preserve"> натрия существенно не влияет на время кровотечения и общие показатели свертывания крови, а также на агрегацию тромбоцитов или на связывание их с фибриногеном. </w:t>
      </w:r>
    </w:p>
    <w:p w14:paraId="18A68FAC" w14:textId="77777777" w:rsidR="00D47FE1" w:rsidRPr="004E51D1" w:rsidRDefault="00D47FE1" w:rsidP="003E7DD0">
      <w:pPr>
        <w:jc w:val="both"/>
        <w:rPr>
          <w:sz w:val="28"/>
          <w:szCs w:val="28"/>
          <w:lang w:eastAsia="en-US"/>
        </w:rPr>
      </w:pPr>
      <w:r w:rsidRPr="004E51D1">
        <w:rPr>
          <w:sz w:val="28"/>
          <w:szCs w:val="28"/>
          <w:lang w:eastAsia="en-US"/>
        </w:rPr>
        <w:t xml:space="preserve">При повышении дозы может удлиняться активированное частичное </w:t>
      </w:r>
      <w:proofErr w:type="spellStart"/>
      <w:r w:rsidRPr="004E51D1">
        <w:rPr>
          <w:sz w:val="28"/>
          <w:szCs w:val="28"/>
          <w:lang w:eastAsia="en-US"/>
        </w:rPr>
        <w:t>тромбопластиновое</w:t>
      </w:r>
      <w:proofErr w:type="spellEnd"/>
      <w:r w:rsidRPr="004E51D1">
        <w:rPr>
          <w:sz w:val="28"/>
          <w:szCs w:val="28"/>
          <w:lang w:eastAsia="en-US"/>
        </w:rPr>
        <w:t xml:space="preserve"> время (АЧТВ) и активированное время свертывания крови (АВСК). Увеличение АЧТВ и АВСК не находятся в прямой линейной зависимости от увеличения </w:t>
      </w:r>
      <w:proofErr w:type="spellStart"/>
      <w:r w:rsidRPr="004E51D1">
        <w:rPr>
          <w:sz w:val="28"/>
          <w:szCs w:val="28"/>
          <w:lang w:eastAsia="en-US"/>
        </w:rPr>
        <w:t>антитромботической</w:t>
      </w:r>
      <w:proofErr w:type="spellEnd"/>
      <w:r w:rsidRPr="004E51D1">
        <w:rPr>
          <w:sz w:val="28"/>
          <w:szCs w:val="28"/>
          <w:lang w:eastAsia="en-US"/>
        </w:rPr>
        <w:t xml:space="preserve"> активности </w:t>
      </w:r>
      <w:proofErr w:type="spellStart"/>
      <w:r w:rsidRPr="004E51D1">
        <w:rPr>
          <w:sz w:val="28"/>
          <w:szCs w:val="28"/>
          <w:lang w:eastAsia="en-US"/>
        </w:rPr>
        <w:t>эноксапарина</w:t>
      </w:r>
      <w:proofErr w:type="spellEnd"/>
      <w:r w:rsidRPr="004E51D1">
        <w:rPr>
          <w:sz w:val="28"/>
          <w:szCs w:val="28"/>
          <w:lang w:eastAsia="en-US"/>
        </w:rPr>
        <w:t xml:space="preserve"> натрия, поэтому нет необходимости в их мониторинге.  </w:t>
      </w:r>
    </w:p>
    <w:p w14:paraId="48E2665E" w14:textId="77777777" w:rsidR="00D47FE1" w:rsidRPr="004E51D1" w:rsidRDefault="00D47FE1" w:rsidP="003E7DD0">
      <w:pPr>
        <w:jc w:val="both"/>
        <w:rPr>
          <w:sz w:val="28"/>
          <w:szCs w:val="28"/>
          <w:u w:val="single"/>
          <w:lang w:eastAsia="en-US"/>
        </w:rPr>
      </w:pPr>
      <w:r w:rsidRPr="004E51D1">
        <w:rPr>
          <w:sz w:val="28"/>
          <w:szCs w:val="28"/>
          <w:u w:val="single"/>
          <w:lang w:eastAsia="en-US"/>
        </w:rPr>
        <w:t xml:space="preserve">Спинальная/Эпидуральная анестезия или </w:t>
      </w:r>
      <w:proofErr w:type="spellStart"/>
      <w:r w:rsidRPr="004E51D1">
        <w:rPr>
          <w:sz w:val="28"/>
          <w:szCs w:val="28"/>
          <w:u w:val="single"/>
          <w:lang w:eastAsia="en-US"/>
        </w:rPr>
        <w:t>люмбальная</w:t>
      </w:r>
      <w:proofErr w:type="spellEnd"/>
      <w:r w:rsidRPr="004E51D1">
        <w:rPr>
          <w:sz w:val="28"/>
          <w:szCs w:val="28"/>
          <w:u w:val="single"/>
          <w:lang w:eastAsia="en-US"/>
        </w:rPr>
        <w:t xml:space="preserve"> пункция</w:t>
      </w:r>
    </w:p>
    <w:p w14:paraId="307DF66C" w14:textId="77777777" w:rsidR="00D47FE1" w:rsidRPr="004E51D1" w:rsidRDefault="00D47FE1" w:rsidP="003E7DD0">
      <w:pPr>
        <w:jc w:val="both"/>
        <w:rPr>
          <w:sz w:val="28"/>
          <w:szCs w:val="28"/>
          <w:lang w:eastAsia="en-US"/>
        </w:rPr>
      </w:pPr>
      <w:r w:rsidRPr="004E51D1">
        <w:rPr>
          <w:sz w:val="28"/>
          <w:szCs w:val="28"/>
          <w:lang w:eastAsia="en-US"/>
        </w:rPr>
        <w:t xml:space="preserve">В течение 24 часов после введения терапевтических доз </w:t>
      </w:r>
      <w:proofErr w:type="spellStart"/>
      <w:r w:rsidRPr="004E51D1">
        <w:rPr>
          <w:sz w:val="28"/>
          <w:szCs w:val="28"/>
          <w:lang w:eastAsia="en-US"/>
        </w:rPr>
        <w:t>эноксапарина</w:t>
      </w:r>
      <w:proofErr w:type="spellEnd"/>
      <w:r w:rsidRPr="004E51D1">
        <w:rPr>
          <w:sz w:val="28"/>
          <w:szCs w:val="28"/>
          <w:lang w:eastAsia="en-US"/>
        </w:rPr>
        <w:t xml:space="preserve"> натрия нельзя проводить спинальную/эпидуральную анестезию и </w:t>
      </w:r>
      <w:proofErr w:type="spellStart"/>
      <w:r w:rsidRPr="004E51D1">
        <w:rPr>
          <w:sz w:val="28"/>
          <w:szCs w:val="28"/>
          <w:lang w:eastAsia="en-US"/>
        </w:rPr>
        <w:t>люмбальную</w:t>
      </w:r>
      <w:proofErr w:type="spellEnd"/>
      <w:r w:rsidRPr="004E51D1">
        <w:rPr>
          <w:sz w:val="28"/>
          <w:szCs w:val="28"/>
          <w:lang w:eastAsia="en-US"/>
        </w:rPr>
        <w:t xml:space="preserve"> пункцию.</w:t>
      </w:r>
    </w:p>
    <w:p w14:paraId="6B6351A4" w14:textId="77777777" w:rsidR="00D47FE1" w:rsidRPr="004E51D1" w:rsidRDefault="00D47FE1" w:rsidP="003E7DD0">
      <w:pPr>
        <w:jc w:val="both"/>
        <w:rPr>
          <w:sz w:val="28"/>
          <w:szCs w:val="28"/>
          <w:lang w:eastAsia="en-US"/>
        </w:rPr>
      </w:pPr>
      <w:r w:rsidRPr="004E51D1">
        <w:rPr>
          <w:sz w:val="28"/>
          <w:szCs w:val="28"/>
          <w:lang w:eastAsia="en-US"/>
        </w:rPr>
        <w:t xml:space="preserve">Сообщалось о случаях </w:t>
      </w:r>
      <w:proofErr w:type="spellStart"/>
      <w:r w:rsidRPr="004E51D1">
        <w:rPr>
          <w:sz w:val="28"/>
          <w:szCs w:val="28"/>
          <w:lang w:eastAsia="en-US"/>
        </w:rPr>
        <w:t>нейроаксиальных</w:t>
      </w:r>
      <w:proofErr w:type="spellEnd"/>
      <w:r w:rsidRPr="004E51D1">
        <w:rPr>
          <w:sz w:val="28"/>
          <w:szCs w:val="28"/>
          <w:lang w:eastAsia="en-US"/>
        </w:rPr>
        <w:t xml:space="preserve"> гематом при применении </w:t>
      </w:r>
      <w:proofErr w:type="spellStart"/>
      <w:r w:rsidRPr="004E51D1">
        <w:rPr>
          <w:sz w:val="28"/>
          <w:szCs w:val="28"/>
          <w:lang w:eastAsia="en-US"/>
        </w:rPr>
        <w:t>эноксапарина</w:t>
      </w:r>
      <w:proofErr w:type="spellEnd"/>
      <w:r w:rsidRPr="004E51D1">
        <w:rPr>
          <w:sz w:val="28"/>
          <w:szCs w:val="28"/>
          <w:lang w:eastAsia="en-US"/>
        </w:rPr>
        <w:t xml:space="preserve"> натрия во время проведения спинальной/эпидуральной анестезии и спинальной пункции, что приводит к развитию стойкого или необратимого паралича. Риск развития таких явлений снижается при применении </w:t>
      </w:r>
      <w:proofErr w:type="spellStart"/>
      <w:r w:rsidRPr="004E51D1">
        <w:rPr>
          <w:sz w:val="28"/>
          <w:szCs w:val="28"/>
          <w:lang w:eastAsia="en-US"/>
        </w:rPr>
        <w:t>эноксапарина</w:t>
      </w:r>
      <w:proofErr w:type="spellEnd"/>
      <w:r w:rsidRPr="004E51D1">
        <w:rPr>
          <w:sz w:val="28"/>
          <w:szCs w:val="28"/>
          <w:lang w:eastAsia="en-US"/>
        </w:rPr>
        <w:t xml:space="preserve"> натрия в дозах 4 000 МЕ (40 мг) один раз в сутки или ниже. При использовании проникающих эпидуральных катетеров после операции, при одновременном применении дополнительных препаратов, оказывающих влияние на гемостаз (к примеру, нестероидных противовоспалительных препаратов), при травматической или повторной эпидуральной или спинномозговой пункции, а также у пациентов, перенесших операцию на позвоночнике или с деформацией позвоночника, риск повышается.  </w:t>
      </w:r>
    </w:p>
    <w:p w14:paraId="5C3FFA8F" w14:textId="77777777" w:rsidR="00D47FE1" w:rsidRPr="004E51D1" w:rsidRDefault="00D47FE1" w:rsidP="003E7DD0">
      <w:pPr>
        <w:jc w:val="both"/>
        <w:rPr>
          <w:sz w:val="28"/>
          <w:szCs w:val="28"/>
          <w:lang w:eastAsia="en-US"/>
        </w:rPr>
      </w:pPr>
      <w:r w:rsidRPr="004E51D1">
        <w:rPr>
          <w:sz w:val="28"/>
          <w:szCs w:val="28"/>
          <w:lang w:eastAsia="en-US"/>
        </w:rPr>
        <w:t xml:space="preserve">Для снижения возможного риска кровотечения, связанного с применением </w:t>
      </w:r>
      <w:proofErr w:type="spellStart"/>
      <w:r w:rsidRPr="004E51D1">
        <w:rPr>
          <w:sz w:val="28"/>
          <w:szCs w:val="28"/>
          <w:lang w:eastAsia="en-US"/>
        </w:rPr>
        <w:t>эноксапарина</w:t>
      </w:r>
      <w:proofErr w:type="spellEnd"/>
      <w:r w:rsidRPr="004E51D1">
        <w:rPr>
          <w:sz w:val="28"/>
          <w:szCs w:val="28"/>
          <w:lang w:eastAsia="en-US"/>
        </w:rPr>
        <w:t xml:space="preserve"> натрия и проведением одновременно эпидуральной или спинальной анестезии/анальгезии или </w:t>
      </w:r>
      <w:proofErr w:type="spellStart"/>
      <w:r w:rsidRPr="004E51D1">
        <w:rPr>
          <w:sz w:val="28"/>
          <w:szCs w:val="28"/>
          <w:lang w:eastAsia="en-US"/>
        </w:rPr>
        <w:t>люмбальной</w:t>
      </w:r>
      <w:proofErr w:type="spellEnd"/>
      <w:r w:rsidRPr="004E51D1">
        <w:rPr>
          <w:sz w:val="28"/>
          <w:szCs w:val="28"/>
          <w:lang w:eastAsia="en-US"/>
        </w:rPr>
        <w:t xml:space="preserve"> пункции, необходимо учитывать фармакокинетический профиль </w:t>
      </w:r>
      <w:proofErr w:type="spellStart"/>
      <w:r w:rsidRPr="004E51D1">
        <w:rPr>
          <w:sz w:val="28"/>
          <w:szCs w:val="28"/>
          <w:lang w:eastAsia="en-US"/>
        </w:rPr>
        <w:t>эноксапарина</w:t>
      </w:r>
      <w:proofErr w:type="spellEnd"/>
      <w:r w:rsidRPr="004E51D1">
        <w:rPr>
          <w:sz w:val="28"/>
          <w:szCs w:val="28"/>
          <w:lang w:eastAsia="en-US"/>
        </w:rPr>
        <w:t xml:space="preserve"> натрия. Установку или удаление эпидурального катетера (или </w:t>
      </w:r>
      <w:proofErr w:type="spellStart"/>
      <w:r w:rsidRPr="004E51D1">
        <w:rPr>
          <w:sz w:val="28"/>
          <w:szCs w:val="28"/>
          <w:lang w:eastAsia="en-US"/>
        </w:rPr>
        <w:t>люмбальную</w:t>
      </w:r>
      <w:proofErr w:type="spellEnd"/>
      <w:r w:rsidRPr="004E51D1">
        <w:rPr>
          <w:sz w:val="28"/>
          <w:szCs w:val="28"/>
          <w:lang w:eastAsia="en-US"/>
        </w:rPr>
        <w:t xml:space="preserve"> пункцию) лучше проводить при низком антикоагулянтном эффекте </w:t>
      </w:r>
      <w:proofErr w:type="spellStart"/>
      <w:r w:rsidRPr="004E51D1">
        <w:rPr>
          <w:sz w:val="28"/>
          <w:szCs w:val="28"/>
          <w:lang w:eastAsia="en-US"/>
        </w:rPr>
        <w:t>эноксапарина</w:t>
      </w:r>
      <w:proofErr w:type="spellEnd"/>
      <w:r w:rsidRPr="004E51D1">
        <w:rPr>
          <w:sz w:val="28"/>
          <w:szCs w:val="28"/>
          <w:lang w:eastAsia="en-US"/>
        </w:rPr>
        <w:t xml:space="preserve"> натрия; однако, точное время достижения достаточно низкого антикоагулянтного эффекта у каждого пациента неизвестно. Для пациентов с клиренсом креатинина 15-</w:t>
      </w:r>
      <w:r w:rsidRPr="004E51D1">
        <w:rPr>
          <w:sz w:val="28"/>
          <w:szCs w:val="28"/>
          <w:lang w:eastAsia="en-US"/>
        </w:rPr>
        <w:softHyphen/>
        <w:t xml:space="preserve">30 мл/минут необходимо принять дополнительные меры, поскольку выведение </w:t>
      </w:r>
      <w:proofErr w:type="spellStart"/>
      <w:r w:rsidRPr="004E51D1">
        <w:rPr>
          <w:sz w:val="28"/>
          <w:szCs w:val="28"/>
          <w:lang w:eastAsia="en-US"/>
        </w:rPr>
        <w:t>эноксапарина</w:t>
      </w:r>
      <w:proofErr w:type="spellEnd"/>
      <w:r w:rsidRPr="004E51D1">
        <w:rPr>
          <w:sz w:val="28"/>
          <w:szCs w:val="28"/>
          <w:lang w:eastAsia="en-US"/>
        </w:rPr>
        <w:t xml:space="preserve"> натрия у них происходит дольше.</w:t>
      </w:r>
    </w:p>
    <w:p w14:paraId="1D7C3511" w14:textId="77777777" w:rsidR="00D47FE1" w:rsidRPr="004E51D1" w:rsidRDefault="00D47FE1" w:rsidP="003E7DD0">
      <w:pPr>
        <w:jc w:val="both"/>
        <w:rPr>
          <w:sz w:val="28"/>
          <w:szCs w:val="28"/>
          <w:lang w:eastAsia="en-US"/>
        </w:rPr>
      </w:pPr>
      <w:r w:rsidRPr="004E51D1">
        <w:rPr>
          <w:sz w:val="28"/>
          <w:szCs w:val="28"/>
          <w:lang w:eastAsia="en-US"/>
        </w:rPr>
        <w:t xml:space="preserve">Если по назначению врача применяется антикоагулянтная терапия во время проведения эпидуральной или спинальной анестезии/анальгезии или </w:t>
      </w:r>
      <w:proofErr w:type="spellStart"/>
      <w:r w:rsidRPr="004E51D1">
        <w:rPr>
          <w:sz w:val="28"/>
          <w:szCs w:val="28"/>
          <w:lang w:eastAsia="en-US"/>
        </w:rPr>
        <w:t>люмбальной</w:t>
      </w:r>
      <w:proofErr w:type="spellEnd"/>
      <w:r w:rsidRPr="004E51D1">
        <w:rPr>
          <w:sz w:val="28"/>
          <w:szCs w:val="28"/>
          <w:lang w:eastAsia="en-US"/>
        </w:rPr>
        <w:t xml:space="preserve"> пункции, необходимо особо тщательное постоянное наблюдение за пациентом для выявления любых неврологических симптомов, таких как: боль в пояснице, нарушение сенсорных и моторных </w:t>
      </w:r>
      <w:r w:rsidRPr="004E51D1">
        <w:rPr>
          <w:sz w:val="28"/>
          <w:szCs w:val="28"/>
          <w:lang w:eastAsia="en-US"/>
        </w:rPr>
        <w:lastRenderedPageBreak/>
        <w:t>функций (онемение или слабость в нижних конечностях), нарушение функции кишечника и/или мочевого пузыря. Пациента необходимо проинструктировать о необходимости немедленного информирования врача при возникновении любого из вышеописанных симптомов. При подозрении на симптомы, характерные для гематомы спинного мозга, необходимы срочная диагностика и лечение, включая, при необходимости, декомпрессию спинного мозга, хотя такое лечение может и не предотвратить или купировать неврологические осложнения.</w:t>
      </w:r>
    </w:p>
    <w:p w14:paraId="410C7CFB" w14:textId="77777777" w:rsidR="00D47FE1" w:rsidRPr="004E51D1" w:rsidRDefault="00D47FE1" w:rsidP="003E7DD0">
      <w:pPr>
        <w:jc w:val="both"/>
        <w:rPr>
          <w:sz w:val="28"/>
          <w:szCs w:val="28"/>
          <w:u w:val="single"/>
          <w:lang w:eastAsia="en-US"/>
        </w:rPr>
      </w:pPr>
      <w:r w:rsidRPr="004E51D1">
        <w:rPr>
          <w:sz w:val="28"/>
          <w:szCs w:val="28"/>
          <w:u w:val="single"/>
          <w:lang w:eastAsia="en-US"/>
        </w:rPr>
        <w:t>Некроз кожи/кожный васкулит</w:t>
      </w:r>
    </w:p>
    <w:p w14:paraId="17237EAE" w14:textId="77777777" w:rsidR="00D47FE1" w:rsidRPr="004E51D1" w:rsidRDefault="00D47FE1" w:rsidP="003E7DD0">
      <w:pPr>
        <w:jc w:val="both"/>
        <w:rPr>
          <w:sz w:val="28"/>
          <w:szCs w:val="28"/>
          <w:lang w:eastAsia="en-US"/>
        </w:rPr>
      </w:pPr>
      <w:r w:rsidRPr="004E51D1">
        <w:rPr>
          <w:sz w:val="28"/>
          <w:szCs w:val="28"/>
          <w:lang w:eastAsia="en-US"/>
        </w:rPr>
        <w:t>Сообщалось о случаях некроза кожи и кожного васкулита при применении низкомолекулярных гепаринов. В таком случае лечение необходимо прекратить немедленно.</w:t>
      </w:r>
    </w:p>
    <w:p w14:paraId="47BF965A" w14:textId="77777777" w:rsidR="00D47FE1" w:rsidRPr="004E51D1" w:rsidRDefault="00D47FE1" w:rsidP="003E7DD0">
      <w:pPr>
        <w:jc w:val="both"/>
        <w:rPr>
          <w:b/>
          <w:sz w:val="28"/>
          <w:szCs w:val="28"/>
          <w:u w:val="single"/>
          <w:lang w:eastAsia="en-US"/>
        </w:rPr>
      </w:pPr>
      <w:r w:rsidRPr="004E51D1">
        <w:rPr>
          <w:sz w:val="28"/>
          <w:szCs w:val="28"/>
          <w:u w:val="single"/>
          <w:lang w:eastAsia="en-US"/>
        </w:rPr>
        <w:t xml:space="preserve">Процедуры </w:t>
      </w:r>
      <w:proofErr w:type="spellStart"/>
      <w:r w:rsidRPr="004E51D1">
        <w:rPr>
          <w:sz w:val="28"/>
          <w:szCs w:val="28"/>
          <w:u w:val="single"/>
          <w:lang w:eastAsia="en-US"/>
        </w:rPr>
        <w:t>чрескожной</w:t>
      </w:r>
      <w:proofErr w:type="spellEnd"/>
      <w:r w:rsidRPr="004E51D1">
        <w:rPr>
          <w:sz w:val="28"/>
          <w:szCs w:val="28"/>
          <w:u w:val="single"/>
          <w:lang w:eastAsia="en-US"/>
        </w:rPr>
        <w:t xml:space="preserve"> коронарной </w:t>
      </w:r>
      <w:proofErr w:type="spellStart"/>
      <w:r w:rsidRPr="004E51D1">
        <w:rPr>
          <w:sz w:val="28"/>
          <w:szCs w:val="28"/>
          <w:u w:val="single"/>
          <w:lang w:eastAsia="en-US"/>
        </w:rPr>
        <w:t>реваскуляризации</w:t>
      </w:r>
      <w:proofErr w:type="spellEnd"/>
      <w:r w:rsidRPr="004E51D1">
        <w:rPr>
          <w:i/>
          <w:sz w:val="28"/>
          <w:szCs w:val="28"/>
          <w:lang w:eastAsia="en-US"/>
        </w:rPr>
        <w:t xml:space="preserve"> (ЧКР) </w:t>
      </w:r>
    </w:p>
    <w:p w14:paraId="1BF7DCEE" w14:textId="77777777" w:rsidR="00D47FE1" w:rsidRPr="004E51D1" w:rsidRDefault="00D47FE1" w:rsidP="003E7DD0">
      <w:pPr>
        <w:jc w:val="both"/>
        <w:rPr>
          <w:sz w:val="28"/>
          <w:szCs w:val="28"/>
          <w:lang w:eastAsia="en-US"/>
        </w:rPr>
      </w:pPr>
      <w:r w:rsidRPr="004E51D1">
        <w:rPr>
          <w:sz w:val="28"/>
          <w:szCs w:val="28"/>
          <w:lang w:eastAsia="en-US"/>
        </w:rPr>
        <w:t xml:space="preserve">Для уменьшения риска кровотечений после </w:t>
      </w:r>
      <w:proofErr w:type="spellStart"/>
      <w:r w:rsidRPr="004E51D1">
        <w:rPr>
          <w:sz w:val="28"/>
          <w:szCs w:val="28"/>
          <w:lang w:eastAsia="en-US"/>
        </w:rPr>
        <w:t>чрескожного</w:t>
      </w:r>
      <w:proofErr w:type="spellEnd"/>
      <w:r w:rsidRPr="004E51D1">
        <w:rPr>
          <w:sz w:val="28"/>
          <w:szCs w:val="28"/>
          <w:lang w:eastAsia="en-US"/>
        </w:rPr>
        <w:t xml:space="preserve"> коронарного вмешательства при терапии нестабильной стенокардии, инфаркта миокарда без зубца </w:t>
      </w:r>
      <w:r w:rsidRPr="004E51D1">
        <w:rPr>
          <w:sz w:val="28"/>
          <w:szCs w:val="28"/>
          <w:lang w:val="en-US" w:eastAsia="en-US"/>
        </w:rPr>
        <w:t>Q</w:t>
      </w:r>
      <w:r w:rsidRPr="004E51D1">
        <w:rPr>
          <w:sz w:val="28"/>
          <w:szCs w:val="28"/>
          <w:lang w:eastAsia="en-US"/>
        </w:rPr>
        <w:t xml:space="preserve"> и острого </w:t>
      </w:r>
      <w:bookmarkStart w:id="0" w:name="_Hlk181348474"/>
      <w:r w:rsidRPr="004E51D1">
        <w:rPr>
          <w:sz w:val="28"/>
          <w:szCs w:val="28"/>
          <w:lang w:eastAsia="en-US"/>
        </w:rPr>
        <w:t xml:space="preserve">инфаркта миокарда с подъемом сегмента </w:t>
      </w:r>
      <w:r w:rsidRPr="004E51D1">
        <w:rPr>
          <w:sz w:val="28"/>
          <w:szCs w:val="28"/>
          <w:lang w:val="en-US" w:eastAsia="en-US"/>
        </w:rPr>
        <w:t>ST</w:t>
      </w:r>
      <w:bookmarkEnd w:id="0"/>
      <w:r w:rsidRPr="004E51D1">
        <w:rPr>
          <w:sz w:val="28"/>
          <w:szCs w:val="28"/>
          <w:lang w:eastAsia="en-US"/>
        </w:rPr>
        <w:t xml:space="preserve"> рекомендуется строго соблюдать рекомендуемые интервалы между дозами </w:t>
      </w:r>
      <w:proofErr w:type="spellStart"/>
      <w:r w:rsidRPr="004E51D1">
        <w:rPr>
          <w:sz w:val="28"/>
          <w:szCs w:val="28"/>
          <w:lang w:eastAsia="en-US"/>
        </w:rPr>
        <w:t>эноксапарина</w:t>
      </w:r>
      <w:proofErr w:type="spellEnd"/>
      <w:r w:rsidRPr="004E51D1">
        <w:rPr>
          <w:sz w:val="28"/>
          <w:szCs w:val="28"/>
          <w:lang w:eastAsia="en-US"/>
        </w:rPr>
        <w:t xml:space="preserve"> натрия. Важно достижение гемостаза в месте пункции после ЧКР. В случае применения защитного устройства, катетер может быть выведен незамедлительно. В случае применения метода ручной компрессии, катетер должен быть выведен через 6 часов после последней подкожной/внутривенной инъекции </w:t>
      </w:r>
      <w:proofErr w:type="spellStart"/>
      <w:r w:rsidRPr="004E51D1">
        <w:rPr>
          <w:sz w:val="28"/>
          <w:szCs w:val="28"/>
          <w:lang w:eastAsia="en-US"/>
        </w:rPr>
        <w:t>эноксапарина</w:t>
      </w:r>
      <w:proofErr w:type="spellEnd"/>
      <w:r w:rsidRPr="004E51D1">
        <w:rPr>
          <w:sz w:val="28"/>
          <w:szCs w:val="28"/>
          <w:lang w:eastAsia="en-US"/>
        </w:rPr>
        <w:t xml:space="preserve"> натрия. Если терапия продолжается, следующий режим дозирования должен быть назначен не ранее 6-8 часов после удаления катетера. Следует оценить наличие признаков кровотечения или формирования гематомы в месте введения катетера. </w:t>
      </w:r>
    </w:p>
    <w:p w14:paraId="0EE34EF6" w14:textId="77777777" w:rsidR="00736D3B" w:rsidRPr="004E51D1" w:rsidRDefault="00736D3B" w:rsidP="00736D3B">
      <w:pPr>
        <w:jc w:val="both"/>
        <w:rPr>
          <w:sz w:val="28"/>
          <w:szCs w:val="28"/>
          <w:u w:val="single"/>
          <w:lang w:eastAsia="en-US"/>
        </w:rPr>
      </w:pPr>
      <w:r w:rsidRPr="004E51D1">
        <w:rPr>
          <w:sz w:val="28"/>
          <w:szCs w:val="28"/>
          <w:u w:val="single"/>
          <w:lang w:eastAsia="en-US"/>
        </w:rPr>
        <w:t>Острый инфекционный эндокардит</w:t>
      </w:r>
    </w:p>
    <w:p w14:paraId="4158E532" w14:textId="77777777" w:rsidR="00736D3B" w:rsidRPr="004E51D1" w:rsidRDefault="00736D3B" w:rsidP="003E7DD0">
      <w:pPr>
        <w:jc w:val="both"/>
        <w:rPr>
          <w:bCs/>
          <w:sz w:val="28"/>
          <w:szCs w:val="28"/>
          <w:lang w:eastAsia="en-US"/>
        </w:rPr>
      </w:pPr>
      <w:r w:rsidRPr="004E51D1">
        <w:rPr>
          <w:bCs/>
          <w:sz w:val="28"/>
          <w:szCs w:val="28"/>
          <w:lang w:eastAsia="en-US"/>
        </w:rPr>
        <w:t>Применение гепарина обычно не рекомендовано пациентам с острым инфекционным эндокардитом в связи с риском кровоизлияния в мозг. Если такое применение считается абсолютно необходимым, решение должно приниматься только после тщательной оценки соотношения пользы и риска.</w:t>
      </w:r>
    </w:p>
    <w:p w14:paraId="0A5D80FD" w14:textId="77777777" w:rsidR="00D47FE1" w:rsidRPr="004E51D1" w:rsidRDefault="00D47FE1" w:rsidP="003E7DD0">
      <w:pPr>
        <w:jc w:val="both"/>
        <w:rPr>
          <w:sz w:val="28"/>
          <w:szCs w:val="28"/>
          <w:u w:val="single"/>
          <w:lang w:eastAsia="en-US"/>
        </w:rPr>
      </w:pPr>
      <w:r w:rsidRPr="004E51D1">
        <w:rPr>
          <w:sz w:val="28"/>
          <w:szCs w:val="28"/>
          <w:u w:val="single"/>
          <w:lang w:eastAsia="en-US"/>
        </w:rPr>
        <w:t>Механические искусственные клапаны сердца</w:t>
      </w:r>
    </w:p>
    <w:p w14:paraId="402A2AE0" w14:textId="77777777" w:rsidR="00D47FE1" w:rsidRPr="004E51D1" w:rsidRDefault="00D47FE1" w:rsidP="003E7DD0">
      <w:pPr>
        <w:jc w:val="both"/>
        <w:rPr>
          <w:bCs/>
          <w:sz w:val="28"/>
          <w:szCs w:val="28"/>
          <w:lang w:eastAsia="en-US"/>
        </w:rPr>
      </w:pPr>
      <w:r w:rsidRPr="004E51D1">
        <w:rPr>
          <w:bCs/>
          <w:sz w:val="28"/>
          <w:szCs w:val="28"/>
          <w:lang w:eastAsia="en-US"/>
        </w:rPr>
        <w:t xml:space="preserve">Применение </w:t>
      </w:r>
      <w:proofErr w:type="spellStart"/>
      <w:r w:rsidRPr="004E51D1">
        <w:rPr>
          <w:sz w:val="28"/>
          <w:szCs w:val="28"/>
          <w:lang w:eastAsia="en-US"/>
        </w:rPr>
        <w:t>эноксапарина</w:t>
      </w:r>
      <w:proofErr w:type="spellEnd"/>
      <w:r w:rsidRPr="004E51D1">
        <w:rPr>
          <w:sz w:val="28"/>
          <w:szCs w:val="28"/>
          <w:lang w:eastAsia="en-US"/>
        </w:rPr>
        <w:t xml:space="preserve"> натрия </w:t>
      </w:r>
      <w:r w:rsidRPr="004E51D1">
        <w:rPr>
          <w:bCs/>
          <w:sz w:val="28"/>
          <w:szCs w:val="28"/>
          <w:lang w:eastAsia="en-US"/>
        </w:rPr>
        <w:t xml:space="preserve">для профилактики тромбообразования у пациентов с механическими искусственными клапанами сердца изучено недостаточно. Зарегистрированы единичные случаи развития тромбоза искусственных клапанов сердца у пациентов с механическими искусственными клапанами сердца на фоне терапии </w:t>
      </w:r>
      <w:proofErr w:type="spellStart"/>
      <w:r w:rsidRPr="004E51D1">
        <w:rPr>
          <w:bCs/>
          <w:sz w:val="28"/>
          <w:szCs w:val="28"/>
          <w:lang w:eastAsia="en-US"/>
        </w:rPr>
        <w:t>эноксапарином</w:t>
      </w:r>
      <w:proofErr w:type="spellEnd"/>
      <w:r w:rsidRPr="004E51D1">
        <w:rPr>
          <w:bCs/>
          <w:sz w:val="28"/>
          <w:szCs w:val="28"/>
          <w:lang w:eastAsia="en-US"/>
        </w:rPr>
        <w:t xml:space="preserve"> натрия для профилактики тромбообразования. Оценка этих сообщений ограничена из-за наличия запутывающих факторов, способствующих развитию тромбоза искусственных клапанов сердца, включая основное заболевание, и из-за недостаточности клинических данных. Некоторые из этих случаев были у беременных женщин, у которых тромбоз приводил к смерти матери и плода.</w:t>
      </w:r>
    </w:p>
    <w:p w14:paraId="2CBB995C" w14:textId="77777777" w:rsidR="00D47FE1" w:rsidRPr="004E51D1" w:rsidRDefault="00D47FE1" w:rsidP="003E7DD0">
      <w:pPr>
        <w:jc w:val="both"/>
        <w:rPr>
          <w:sz w:val="28"/>
          <w:szCs w:val="28"/>
          <w:u w:val="single"/>
          <w:lang w:eastAsia="en-US"/>
        </w:rPr>
      </w:pPr>
      <w:r w:rsidRPr="004E51D1">
        <w:rPr>
          <w:bCs/>
          <w:sz w:val="28"/>
          <w:szCs w:val="28"/>
          <w:u w:val="single"/>
          <w:lang w:eastAsia="en-US"/>
        </w:rPr>
        <w:lastRenderedPageBreak/>
        <w:t>Беременные женщины с механическими искусственными клапанами сердца</w:t>
      </w:r>
    </w:p>
    <w:p w14:paraId="33F72AED" w14:textId="77777777" w:rsidR="00736D3B" w:rsidRPr="004E51D1" w:rsidRDefault="00736D3B" w:rsidP="00736D3B">
      <w:pPr>
        <w:jc w:val="both"/>
        <w:rPr>
          <w:bCs/>
          <w:sz w:val="28"/>
          <w:szCs w:val="28"/>
          <w:lang w:eastAsia="en-US"/>
        </w:rPr>
      </w:pPr>
      <w:r w:rsidRPr="004E51D1">
        <w:rPr>
          <w:bCs/>
          <w:sz w:val="28"/>
          <w:szCs w:val="28"/>
          <w:lang w:eastAsia="en-US"/>
        </w:rPr>
        <w:t xml:space="preserve">Использование </w:t>
      </w:r>
      <w:proofErr w:type="spellStart"/>
      <w:r w:rsidRPr="004E51D1">
        <w:rPr>
          <w:bCs/>
          <w:sz w:val="28"/>
          <w:szCs w:val="28"/>
          <w:lang w:eastAsia="en-US"/>
        </w:rPr>
        <w:t>эноксапарина</w:t>
      </w:r>
      <w:proofErr w:type="spellEnd"/>
      <w:r w:rsidRPr="004E51D1">
        <w:rPr>
          <w:bCs/>
          <w:sz w:val="28"/>
          <w:szCs w:val="28"/>
          <w:lang w:eastAsia="en-US"/>
        </w:rPr>
        <w:t xml:space="preserve"> натрия для профилактики тромбозов у ​​беременных женщин с механическими протезами клапанов сердца не было должным образом изучено. В клиническом исследовании беременных женщин с механическими протезами клапанов сердца, которым давали </w:t>
      </w:r>
      <w:proofErr w:type="spellStart"/>
      <w:r w:rsidRPr="004E51D1">
        <w:rPr>
          <w:bCs/>
          <w:sz w:val="28"/>
          <w:szCs w:val="28"/>
          <w:lang w:eastAsia="en-US"/>
        </w:rPr>
        <w:t>эноксапарин</w:t>
      </w:r>
      <w:proofErr w:type="spellEnd"/>
      <w:r w:rsidRPr="004E51D1">
        <w:rPr>
          <w:bCs/>
          <w:sz w:val="28"/>
          <w:szCs w:val="28"/>
          <w:lang w:eastAsia="en-US"/>
        </w:rPr>
        <w:t xml:space="preserve"> натрия (100 МЕ/кг (1 мг/кг) два раза в день) для снижения риска тромбоэмболии, у 2 из 8 женщин образовались тромбы, что привело к закупорке клапана и смерти матери и плода. Были отдельные пострегистрационные сообщения о тромбозе клапанов у беременных женщин с механическими протезами клапанов сердца, получавших </w:t>
      </w:r>
      <w:proofErr w:type="spellStart"/>
      <w:r w:rsidRPr="004E51D1">
        <w:rPr>
          <w:bCs/>
          <w:sz w:val="28"/>
          <w:szCs w:val="28"/>
          <w:lang w:eastAsia="en-US"/>
        </w:rPr>
        <w:t>эноксапарин</w:t>
      </w:r>
      <w:proofErr w:type="spellEnd"/>
      <w:r w:rsidRPr="004E51D1">
        <w:rPr>
          <w:bCs/>
          <w:sz w:val="28"/>
          <w:szCs w:val="28"/>
          <w:lang w:eastAsia="en-US"/>
        </w:rPr>
        <w:t xml:space="preserve"> натрия для профилактики тромбозов. Беременные женщины с механическими протезами клапанов сердца могут быть подвержены более высокому риску тромбоэмболии.</w:t>
      </w:r>
    </w:p>
    <w:p w14:paraId="2C368B09" w14:textId="77777777" w:rsidR="00D47FE1" w:rsidRPr="004E51D1" w:rsidRDefault="00D47FE1" w:rsidP="003E7DD0">
      <w:pPr>
        <w:jc w:val="both"/>
        <w:rPr>
          <w:sz w:val="28"/>
          <w:szCs w:val="28"/>
          <w:u w:val="single"/>
          <w:lang w:eastAsia="en-US"/>
        </w:rPr>
      </w:pPr>
      <w:r w:rsidRPr="004E51D1">
        <w:rPr>
          <w:sz w:val="28"/>
          <w:szCs w:val="28"/>
          <w:u w:val="single"/>
          <w:lang w:eastAsia="en-US"/>
        </w:rPr>
        <w:t>Пациенты пожилого возраста</w:t>
      </w:r>
    </w:p>
    <w:p w14:paraId="43808FF1" w14:textId="77777777" w:rsidR="00D47FE1" w:rsidRPr="004E51D1" w:rsidRDefault="00D47FE1" w:rsidP="003E7DD0">
      <w:pPr>
        <w:jc w:val="both"/>
        <w:rPr>
          <w:sz w:val="28"/>
          <w:szCs w:val="28"/>
          <w:lang w:eastAsia="en-US"/>
        </w:rPr>
      </w:pPr>
      <w:r w:rsidRPr="004E51D1">
        <w:rPr>
          <w:sz w:val="28"/>
          <w:szCs w:val="28"/>
          <w:lang w:eastAsia="en-US"/>
        </w:rPr>
        <w:t xml:space="preserve">При применении препарата в профилактических дозах у пациентов пожилого возраста не было выявлено тенденции к увеличению кровоточивости. При применении препарата в терапевтических дозах у пациентов пожилого возраста (особенно у пациентов в возрасте 80 лет и старше) существует повышенный риск развития кровотечений. Рекомендуется проведение тщательного наблюдения и возможность снижения дозы у пациентов старше 75 лет, получающих лечение от </w:t>
      </w:r>
      <w:bookmarkStart w:id="1" w:name="_Hlk181278321"/>
      <w:r w:rsidRPr="004E51D1">
        <w:rPr>
          <w:sz w:val="28"/>
          <w:szCs w:val="28"/>
          <w:lang w:eastAsia="en-US"/>
        </w:rPr>
        <w:t>инфаркта миокарда с подъемом сегмента ST</w:t>
      </w:r>
      <w:bookmarkEnd w:id="1"/>
      <w:r w:rsidRPr="004E51D1">
        <w:rPr>
          <w:sz w:val="28"/>
          <w:szCs w:val="28"/>
          <w:lang w:eastAsia="en-US"/>
        </w:rPr>
        <w:t xml:space="preserve">. </w:t>
      </w:r>
    </w:p>
    <w:p w14:paraId="361EE8D1" w14:textId="77777777" w:rsidR="00D47FE1" w:rsidRPr="004E51D1" w:rsidRDefault="00D47FE1" w:rsidP="003E7DD0">
      <w:pPr>
        <w:jc w:val="both"/>
        <w:rPr>
          <w:sz w:val="28"/>
          <w:szCs w:val="28"/>
          <w:u w:val="single"/>
          <w:lang w:eastAsia="en-US"/>
        </w:rPr>
      </w:pPr>
      <w:r w:rsidRPr="004E51D1">
        <w:rPr>
          <w:sz w:val="28"/>
          <w:szCs w:val="28"/>
          <w:u w:val="single"/>
          <w:lang w:eastAsia="en-US"/>
        </w:rPr>
        <w:t>Нарушение функции почек</w:t>
      </w:r>
    </w:p>
    <w:p w14:paraId="5AD672B7" w14:textId="77777777" w:rsidR="00D47FE1" w:rsidRPr="004E51D1" w:rsidRDefault="00D47FE1" w:rsidP="003E7DD0">
      <w:pPr>
        <w:jc w:val="both"/>
        <w:rPr>
          <w:sz w:val="28"/>
          <w:szCs w:val="28"/>
          <w:lang w:eastAsia="en-US"/>
        </w:rPr>
      </w:pPr>
      <w:r w:rsidRPr="004E51D1">
        <w:rPr>
          <w:sz w:val="28"/>
          <w:szCs w:val="28"/>
          <w:lang w:eastAsia="en-US"/>
        </w:rPr>
        <w:t xml:space="preserve">У пациентов с нарушением функции почек существует риск развития кровотечения в результате увеличения системной экспозиции </w:t>
      </w:r>
      <w:proofErr w:type="spellStart"/>
      <w:r w:rsidRPr="004E51D1">
        <w:rPr>
          <w:sz w:val="28"/>
          <w:szCs w:val="28"/>
          <w:lang w:eastAsia="en-US"/>
        </w:rPr>
        <w:t>эноксапарина</w:t>
      </w:r>
      <w:proofErr w:type="spellEnd"/>
      <w:r w:rsidRPr="004E51D1">
        <w:rPr>
          <w:sz w:val="28"/>
          <w:szCs w:val="28"/>
          <w:lang w:eastAsia="en-US"/>
        </w:rPr>
        <w:t xml:space="preserve"> натрия. У таких пациентов рекомендуется проведение тщательного контроля и биологический мониторинг путем измерения анти-Ха активности.</w:t>
      </w:r>
    </w:p>
    <w:p w14:paraId="6FFBB9AF"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не рекомендован пациентам с терминальной стадией болезни почек (клиренс креатинина &lt;15 мл/мин) в связи с отсутствием данных о популяции, помимо профилактики тромбообразования в экстракорпоральном круге кровообращения при проведении гемодиализа.</w:t>
      </w:r>
    </w:p>
    <w:p w14:paraId="270F5B4C" w14:textId="77777777" w:rsidR="00D47FE1" w:rsidRPr="004E51D1" w:rsidRDefault="00D47FE1" w:rsidP="003E7DD0">
      <w:pPr>
        <w:jc w:val="both"/>
        <w:rPr>
          <w:sz w:val="28"/>
          <w:szCs w:val="28"/>
          <w:lang w:eastAsia="en-US"/>
        </w:rPr>
      </w:pPr>
      <w:r w:rsidRPr="004E51D1">
        <w:rPr>
          <w:sz w:val="28"/>
          <w:szCs w:val="28"/>
          <w:lang w:eastAsia="en-US"/>
        </w:rPr>
        <w:t xml:space="preserve">У пациентов с тяжелым нарушением функции почек (клиренс креатинина 15-30 мл/мин) рекомендуется проводить коррекцию дозы, как при профилактическом, так и терапевтическом применении препарата, поскольку экспозиция </w:t>
      </w:r>
      <w:proofErr w:type="spellStart"/>
      <w:r w:rsidRPr="004E51D1">
        <w:rPr>
          <w:sz w:val="28"/>
          <w:szCs w:val="28"/>
          <w:lang w:eastAsia="en-US"/>
        </w:rPr>
        <w:t>эноксапарина</w:t>
      </w:r>
      <w:proofErr w:type="spellEnd"/>
      <w:r w:rsidRPr="004E51D1">
        <w:rPr>
          <w:sz w:val="28"/>
          <w:szCs w:val="28"/>
          <w:lang w:eastAsia="en-US"/>
        </w:rPr>
        <w:t xml:space="preserve"> натрия существенно увеличена.</w:t>
      </w:r>
    </w:p>
    <w:p w14:paraId="132E3BAB" w14:textId="77777777" w:rsidR="00D47FE1" w:rsidRPr="004E51D1" w:rsidRDefault="00D47FE1" w:rsidP="003E7DD0">
      <w:pPr>
        <w:jc w:val="both"/>
        <w:rPr>
          <w:sz w:val="28"/>
          <w:szCs w:val="28"/>
          <w:lang w:eastAsia="en-US"/>
        </w:rPr>
      </w:pPr>
      <w:r w:rsidRPr="004E51D1">
        <w:rPr>
          <w:sz w:val="28"/>
          <w:szCs w:val="28"/>
          <w:lang w:eastAsia="en-US"/>
        </w:rPr>
        <w:t>У пациентов с умеренным (клиренс креатинина 30-50 мл/мин) и легким (клиренс креатинина 50-80 мл/мин) нарушением функции почек не требуется проводить коррекцию дозы.</w:t>
      </w:r>
    </w:p>
    <w:p w14:paraId="6FB3C66A" w14:textId="77777777" w:rsidR="00D47FE1" w:rsidRPr="004E51D1" w:rsidRDefault="00D47FE1" w:rsidP="003E7DD0">
      <w:pPr>
        <w:jc w:val="both"/>
        <w:rPr>
          <w:sz w:val="28"/>
          <w:szCs w:val="28"/>
          <w:u w:val="single"/>
          <w:lang w:eastAsia="en-US"/>
        </w:rPr>
      </w:pPr>
      <w:r w:rsidRPr="004E51D1">
        <w:rPr>
          <w:sz w:val="28"/>
          <w:szCs w:val="28"/>
          <w:u w:val="single"/>
          <w:lang w:eastAsia="en-US"/>
        </w:rPr>
        <w:t>Нарушение функции печени</w:t>
      </w:r>
    </w:p>
    <w:p w14:paraId="5ECFD2A8"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следует применять с осторожностью у пациентов с нарушением функции печени, в связи с вероятностью кровотечения. </w:t>
      </w:r>
      <w:r w:rsidRPr="004E51D1">
        <w:rPr>
          <w:sz w:val="28"/>
          <w:szCs w:val="28"/>
          <w:lang w:eastAsia="en-US"/>
        </w:rPr>
        <w:lastRenderedPageBreak/>
        <w:t>Коррекция дозы на основании мониторинга уровней анти-</w:t>
      </w:r>
      <w:proofErr w:type="spellStart"/>
      <w:r w:rsidRPr="004E51D1">
        <w:rPr>
          <w:sz w:val="28"/>
          <w:szCs w:val="28"/>
          <w:lang w:eastAsia="en-US"/>
        </w:rPr>
        <w:t>Xa</w:t>
      </w:r>
      <w:proofErr w:type="spellEnd"/>
      <w:r w:rsidRPr="004E51D1">
        <w:rPr>
          <w:sz w:val="28"/>
          <w:szCs w:val="28"/>
          <w:lang w:eastAsia="en-US"/>
        </w:rPr>
        <w:t xml:space="preserve"> активности является ненадежной у пациентов с циррозом печени и не рекомендуется. </w:t>
      </w:r>
    </w:p>
    <w:p w14:paraId="65D16480" w14:textId="77777777" w:rsidR="00D47FE1" w:rsidRPr="004E51D1" w:rsidRDefault="00D47FE1" w:rsidP="003E7DD0">
      <w:pPr>
        <w:jc w:val="both"/>
        <w:rPr>
          <w:sz w:val="28"/>
          <w:szCs w:val="28"/>
          <w:u w:val="single"/>
          <w:lang w:eastAsia="en-US"/>
        </w:rPr>
      </w:pPr>
      <w:r w:rsidRPr="004E51D1">
        <w:rPr>
          <w:sz w:val="28"/>
          <w:szCs w:val="28"/>
          <w:u w:val="single"/>
          <w:lang w:eastAsia="en-US"/>
        </w:rPr>
        <w:t>Низкая масса тела</w:t>
      </w:r>
    </w:p>
    <w:p w14:paraId="2D096ACD" w14:textId="77777777" w:rsidR="00D47FE1" w:rsidRPr="004E51D1" w:rsidRDefault="00D47FE1" w:rsidP="003E7DD0">
      <w:pPr>
        <w:jc w:val="both"/>
        <w:rPr>
          <w:sz w:val="28"/>
          <w:szCs w:val="28"/>
          <w:lang w:eastAsia="en-US"/>
        </w:rPr>
      </w:pPr>
      <w:r w:rsidRPr="004E51D1">
        <w:rPr>
          <w:sz w:val="28"/>
          <w:szCs w:val="28"/>
          <w:lang w:eastAsia="en-US"/>
        </w:rPr>
        <w:t xml:space="preserve">Увеличение экспозиции </w:t>
      </w:r>
      <w:proofErr w:type="spellStart"/>
      <w:r w:rsidRPr="004E51D1">
        <w:rPr>
          <w:sz w:val="28"/>
          <w:szCs w:val="28"/>
          <w:lang w:eastAsia="en-US"/>
        </w:rPr>
        <w:t>эноксапарина</w:t>
      </w:r>
      <w:proofErr w:type="spellEnd"/>
      <w:r w:rsidRPr="004E51D1">
        <w:rPr>
          <w:sz w:val="28"/>
          <w:szCs w:val="28"/>
          <w:lang w:eastAsia="en-US"/>
        </w:rPr>
        <w:t xml:space="preserve"> натрия в профилактических дозах (не скорректированных с учетом массы тела) у женщин с низкой массой тела (менее 45 кг) и у мужчин с низкой массой тела (менее 57 кг) может приводить к повышенному риску развития кровотечений. Рекомендуется проведение тщательного контроля за состоянием таких пациентов.</w:t>
      </w:r>
    </w:p>
    <w:p w14:paraId="5D530E51" w14:textId="77777777" w:rsidR="00D47FE1" w:rsidRPr="004E51D1" w:rsidRDefault="00D47FE1" w:rsidP="003E7DD0">
      <w:pPr>
        <w:jc w:val="both"/>
        <w:rPr>
          <w:sz w:val="28"/>
          <w:szCs w:val="28"/>
          <w:u w:val="single"/>
          <w:lang w:eastAsia="en-US"/>
        </w:rPr>
      </w:pPr>
      <w:r w:rsidRPr="004E51D1">
        <w:rPr>
          <w:sz w:val="28"/>
          <w:szCs w:val="28"/>
          <w:u w:val="single"/>
          <w:lang w:eastAsia="en-US"/>
        </w:rPr>
        <w:t>Пациенты с ожирением</w:t>
      </w:r>
    </w:p>
    <w:p w14:paraId="56591D14" w14:textId="77777777" w:rsidR="00D47FE1" w:rsidRPr="004E51D1" w:rsidRDefault="00D47FE1" w:rsidP="003E7DD0">
      <w:pPr>
        <w:jc w:val="both"/>
        <w:rPr>
          <w:sz w:val="28"/>
          <w:szCs w:val="28"/>
          <w:lang w:eastAsia="en-US"/>
        </w:rPr>
      </w:pPr>
      <w:r w:rsidRPr="004E51D1">
        <w:rPr>
          <w:sz w:val="28"/>
          <w:szCs w:val="28"/>
          <w:lang w:eastAsia="en-US"/>
        </w:rPr>
        <w:t xml:space="preserve">Пациенты с ожирением находятся в группе повышенного риска развития тромбоэмболии. Безопасность и эффективность применения </w:t>
      </w:r>
      <w:proofErr w:type="spellStart"/>
      <w:r w:rsidRPr="004E51D1">
        <w:rPr>
          <w:sz w:val="28"/>
          <w:szCs w:val="28"/>
          <w:lang w:eastAsia="en-US"/>
        </w:rPr>
        <w:t>эноксапарина</w:t>
      </w:r>
      <w:proofErr w:type="spellEnd"/>
      <w:r w:rsidRPr="004E51D1">
        <w:rPr>
          <w:sz w:val="28"/>
          <w:szCs w:val="28"/>
          <w:lang w:eastAsia="en-US"/>
        </w:rPr>
        <w:t xml:space="preserve"> в профилактических дозах у пациентов с ожирением (ИМТ более 30 кг/м</w:t>
      </w:r>
      <w:r w:rsidRPr="004E51D1">
        <w:rPr>
          <w:sz w:val="28"/>
          <w:szCs w:val="28"/>
          <w:vertAlign w:val="superscript"/>
          <w:lang w:eastAsia="en-US"/>
        </w:rPr>
        <w:t>2</w:t>
      </w:r>
      <w:r w:rsidRPr="004E51D1">
        <w:rPr>
          <w:sz w:val="28"/>
          <w:szCs w:val="28"/>
          <w:lang w:eastAsia="en-US"/>
        </w:rPr>
        <w:t xml:space="preserve">) до конца не определена и нет общего мнения по коррекции дозы. Этих пациентов следует внимательно наблюдать на предмет развития симптомов и признаков тромбоэмболии.  </w:t>
      </w:r>
    </w:p>
    <w:p w14:paraId="33BD786F" w14:textId="77777777" w:rsidR="00D47FE1" w:rsidRPr="004E51D1" w:rsidRDefault="00D47FE1" w:rsidP="003E7DD0">
      <w:pPr>
        <w:jc w:val="both"/>
        <w:rPr>
          <w:sz w:val="28"/>
          <w:szCs w:val="28"/>
          <w:u w:val="single"/>
          <w:lang w:eastAsia="en-US"/>
        </w:rPr>
      </w:pPr>
      <w:proofErr w:type="spellStart"/>
      <w:r w:rsidRPr="004E51D1">
        <w:rPr>
          <w:sz w:val="28"/>
          <w:szCs w:val="28"/>
          <w:u w:val="single"/>
          <w:lang w:eastAsia="en-US"/>
        </w:rPr>
        <w:t>Гиперкалиемия</w:t>
      </w:r>
      <w:proofErr w:type="spellEnd"/>
      <w:r w:rsidRPr="004E51D1">
        <w:rPr>
          <w:sz w:val="28"/>
          <w:szCs w:val="28"/>
          <w:u w:val="single"/>
          <w:lang w:eastAsia="en-US"/>
        </w:rPr>
        <w:t xml:space="preserve"> </w:t>
      </w:r>
    </w:p>
    <w:p w14:paraId="06C210F2" w14:textId="77777777" w:rsidR="00D47FE1" w:rsidRPr="004E51D1" w:rsidRDefault="00D47FE1" w:rsidP="003E7DD0">
      <w:pPr>
        <w:jc w:val="both"/>
        <w:rPr>
          <w:sz w:val="28"/>
          <w:szCs w:val="28"/>
          <w:lang w:eastAsia="en-US"/>
        </w:rPr>
      </w:pPr>
      <w:r w:rsidRPr="004E51D1">
        <w:rPr>
          <w:sz w:val="28"/>
          <w:szCs w:val="28"/>
          <w:lang w:eastAsia="en-US"/>
        </w:rPr>
        <w:t xml:space="preserve">Гепарины могут подавлять секрецию коры надпочечников гормона альдостерона, что ведет к </w:t>
      </w:r>
      <w:proofErr w:type="spellStart"/>
      <w:r w:rsidRPr="004E51D1">
        <w:rPr>
          <w:sz w:val="28"/>
          <w:szCs w:val="28"/>
          <w:lang w:eastAsia="en-US"/>
        </w:rPr>
        <w:t>гиперкалиемии</w:t>
      </w:r>
      <w:proofErr w:type="spellEnd"/>
      <w:r w:rsidRPr="004E51D1">
        <w:rPr>
          <w:sz w:val="28"/>
          <w:szCs w:val="28"/>
          <w:lang w:eastAsia="en-US"/>
        </w:rPr>
        <w:t>, в частности у пациентов с сахарным диабетом, хронической почечной недостаточностью, существовавшим ранее метаболическим ацидозом, которые принимают лекарственные препараты, увеличивающие уровень калия. Необходимо регулярно проверять калий в плазме, особенно у пациентов, находящихся в группе риска.</w:t>
      </w:r>
    </w:p>
    <w:p w14:paraId="5E10C67D" w14:textId="77777777" w:rsidR="00D47FE1" w:rsidRPr="004E51D1" w:rsidRDefault="00D47FE1" w:rsidP="003E7DD0">
      <w:pPr>
        <w:jc w:val="both"/>
        <w:rPr>
          <w:sz w:val="28"/>
          <w:szCs w:val="28"/>
          <w:u w:val="single"/>
          <w:lang w:eastAsia="en-US"/>
        </w:rPr>
      </w:pPr>
      <w:r w:rsidRPr="004E51D1">
        <w:rPr>
          <w:sz w:val="28"/>
          <w:szCs w:val="28"/>
          <w:u w:val="single"/>
          <w:lang w:eastAsia="en-US"/>
        </w:rPr>
        <w:t xml:space="preserve">Прослеживаемость </w:t>
      </w:r>
    </w:p>
    <w:p w14:paraId="449B9A8D" w14:textId="77777777" w:rsidR="00D47FE1" w:rsidRPr="004E51D1" w:rsidRDefault="00D47FE1" w:rsidP="003E7DD0">
      <w:pPr>
        <w:jc w:val="both"/>
        <w:rPr>
          <w:sz w:val="28"/>
          <w:szCs w:val="28"/>
          <w:lang w:eastAsia="en-US"/>
        </w:rPr>
      </w:pPr>
      <w:r w:rsidRPr="004E51D1">
        <w:rPr>
          <w:sz w:val="28"/>
          <w:szCs w:val="28"/>
          <w:lang w:eastAsia="en-US"/>
        </w:rPr>
        <w:t>Низкомолекулярные гепарины – это биологические лекарственные препараты. Для улучшения прослеживаемости низкомолекулярных гепаринов медработникам рекомендуется записывать в карту пациента торговое название и номер партии введенного препарата.</w:t>
      </w:r>
    </w:p>
    <w:p w14:paraId="2084F7B4" w14:textId="77777777" w:rsidR="00736D3B" w:rsidRPr="004E51D1" w:rsidRDefault="00736D3B" w:rsidP="00736D3B">
      <w:pPr>
        <w:jc w:val="both"/>
        <w:rPr>
          <w:sz w:val="28"/>
          <w:szCs w:val="28"/>
          <w:u w:val="single"/>
        </w:rPr>
      </w:pPr>
      <w:r w:rsidRPr="004E51D1">
        <w:rPr>
          <w:sz w:val="28"/>
          <w:szCs w:val="28"/>
          <w:u w:val="single"/>
        </w:rPr>
        <w:t xml:space="preserve">Острый генерализованный </w:t>
      </w:r>
      <w:proofErr w:type="spellStart"/>
      <w:r w:rsidRPr="004E51D1">
        <w:rPr>
          <w:sz w:val="28"/>
          <w:szCs w:val="28"/>
          <w:u w:val="single"/>
        </w:rPr>
        <w:t>экзантематозный</w:t>
      </w:r>
      <w:proofErr w:type="spellEnd"/>
      <w:r w:rsidRPr="004E51D1">
        <w:rPr>
          <w:sz w:val="28"/>
          <w:szCs w:val="28"/>
          <w:u w:val="single"/>
        </w:rPr>
        <w:t xml:space="preserve"> </w:t>
      </w:r>
      <w:proofErr w:type="spellStart"/>
      <w:r w:rsidRPr="004E51D1">
        <w:rPr>
          <w:sz w:val="28"/>
          <w:szCs w:val="28"/>
          <w:u w:val="single"/>
        </w:rPr>
        <w:t>пустулез</w:t>
      </w:r>
      <w:proofErr w:type="spellEnd"/>
    </w:p>
    <w:p w14:paraId="281F7E1F" w14:textId="77777777" w:rsidR="00736D3B" w:rsidRPr="004E51D1" w:rsidRDefault="00736D3B" w:rsidP="003E7DD0">
      <w:pPr>
        <w:jc w:val="both"/>
        <w:rPr>
          <w:sz w:val="28"/>
          <w:szCs w:val="28"/>
        </w:rPr>
      </w:pPr>
      <w:r w:rsidRPr="004E51D1">
        <w:rPr>
          <w:sz w:val="28"/>
          <w:szCs w:val="28"/>
        </w:rPr>
        <w:t xml:space="preserve">Острый генерализованный </w:t>
      </w:r>
      <w:proofErr w:type="spellStart"/>
      <w:r w:rsidRPr="004E51D1">
        <w:rPr>
          <w:sz w:val="28"/>
          <w:szCs w:val="28"/>
        </w:rPr>
        <w:t>экзантематозный</w:t>
      </w:r>
      <w:proofErr w:type="spellEnd"/>
      <w:r w:rsidRPr="004E51D1">
        <w:rPr>
          <w:sz w:val="28"/>
          <w:szCs w:val="28"/>
        </w:rPr>
        <w:t xml:space="preserve"> </w:t>
      </w:r>
      <w:proofErr w:type="spellStart"/>
      <w:r w:rsidRPr="004E51D1">
        <w:rPr>
          <w:sz w:val="28"/>
          <w:szCs w:val="28"/>
        </w:rPr>
        <w:t>пустулез</w:t>
      </w:r>
      <w:proofErr w:type="spellEnd"/>
      <w:r w:rsidRPr="004E51D1">
        <w:rPr>
          <w:sz w:val="28"/>
          <w:szCs w:val="28"/>
        </w:rPr>
        <w:t xml:space="preserve"> (AGEP) был зарегистрирован с неизвестной частотой в связи с лечением </w:t>
      </w:r>
      <w:proofErr w:type="spellStart"/>
      <w:r w:rsidRPr="004E51D1">
        <w:rPr>
          <w:sz w:val="28"/>
          <w:szCs w:val="28"/>
        </w:rPr>
        <w:t>эноксапарином</w:t>
      </w:r>
      <w:proofErr w:type="spellEnd"/>
      <w:r w:rsidRPr="004E51D1">
        <w:rPr>
          <w:sz w:val="28"/>
          <w:szCs w:val="28"/>
        </w:rPr>
        <w:t xml:space="preserve">. Во время назначения препарата пациентам следует сообщить о признаках и симптомах и тщательно следить за кожными реакциями. Если появляются признаки и симптомы, указывающие на эти реакции, </w:t>
      </w:r>
      <w:proofErr w:type="spellStart"/>
      <w:r w:rsidRPr="004E51D1">
        <w:rPr>
          <w:sz w:val="28"/>
          <w:szCs w:val="28"/>
        </w:rPr>
        <w:t>эноксапарин</w:t>
      </w:r>
      <w:proofErr w:type="spellEnd"/>
      <w:r w:rsidRPr="004E51D1">
        <w:rPr>
          <w:sz w:val="28"/>
          <w:szCs w:val="28"/>
        </w:rPr>
        <w:t xml:space="preserve"> следует немедленно отменить и рассмотреть альтернативное лечение (по мере необходимости).</w:t>
      </w:r>
    </w:p>
    <w:p w14:paraId="5B363AE9" w14:textId="77777777" w:rsidR="00436172" w:rsidRPr="004E51D1" w:rsidRDefault="00436172" w:rsidP="003E7DD0">
      <w:pPr>
        <w:jc w:val="both"/>
        <w:rPr>
          <w:bCs/>
          <w:i/>
          <w:sz w:val="28"/>
          <w:szCs w:val="28"/>
          <w:lang w:eastAsia="en-US"/>
        </w:rPr>
      </w:pPr>
      <w:r w:rsidRPr="004E51D1">
        <w:rPr>
          <w:bCs/>
          <w:i/>
          <w:sz w:val="28"/>
          <w:szCs w:val="28"/>
          <w:lang w:eastAsia="en-US"/>
        </w:rPr>
        <w:t xml:space="preserve">Во время беременности </w:t>
      </w:r>
    </w:p>
    <w:p w14:paraId="4A7ED9B5" w14:textId="77777777" w:rsidR="00D47FE1" w:rsidRPr="004E51D1" w:rsidRDefault="00D47FE1" w:rsidP="003E7DD0">
      <w:pPr>
        <w:jc w:val="both"/>
        <w:rPr>
          <w:sz w:val="28"/>
          <w:szCs w:val="28"/>
          <w:lang w:eastAsia="en-US"/>
        </w:rPr>
      </w:pPr>
      <w:r w:rsidRPr="004E51D1">
        <w:rPr>
          <w:sz w:val="28"/>
          <w:szCs w:val="28"/>
          <w:lang w:eastAsia="en-US"/>
        </w:rPr>
        <w:t xml:space="preserve">Сведений о том, что </w:t>
      </w:r>
      <w:proofErr w:type="spellStart"/>
      <w:r w:rsidRPr="004E51D1">
        <w:rPr>
          <w:sz w:val="28"/>
          <w:szCs w:val="28"/>
          <w:lang w:eastAsia="en-US"/>
        </w:rPr>
        <w:t>эноксапарин</w:t>
      </w:r>
      <w:proofErr w:type="spellEnd"/>
      <w:r w:rsidRPr="004E51D1">
        <w:rPr>
          <w:sz w:val="28"/>
          <w:szCs w:val="28"/>
          <w:lang w:eastAsia="en-US"/>
        </w:rPr>
        <w:t xml:space="preserve"> натрия проникает через плацентарный барьер во время второго и третьего триместра беременности у человека, нет. Отсутствует соответствующая информация относительно первого триместра беременности. </w:t>
      </w:r>
    </w:p>
    <w:p w14:paraId="7F72BF27" w14:textId="77777777" w:rsidR="00D47FE1" w:rsidRPr="004E51D1" w:rsidRDefault="00D47FE1" w:rsidP="003E7DD0">
      <w:pPr>
        <w:jc w:val="both"/>
        <w:rPr>
          <w:sz w:val="28"/>
          <w:szCs w:val="28"/>
          <w:lang w:eastAsia="en-US"/>
        </w:rPr>
      </w:pPr>
      <w:proofErr w:type="spellStart"/>
      <w:r w:rsidRPr="004E51D1">
        <w:rPr>
          <w:sz w:val="28"/>
          <w:szCs w:val="28"/>
          <w:lang w:eastAsia="en-US"/>
        </w:rPr>
        <w:t>Эноксапарин</w:t>
      </w:r>
      <w:proofErr w:type="spellEnd"/>
      <w:r w:rsidRPr="004E51D1">
        <w:rPr>
          <w:sz w:val="28"/>
          <w:szCs w:val="28"/>
          <w:lang w:eastAsia="en-US"/>
        </w:rPr>
        <w:t xml:space="preserve"> натрия во время беременности следует применять только в тех случаях, когда имеется настоятельная необходимость его применения, установленная врачом.  </w:t>
      </w:r>
    </w:p>
    <w:p w14:paraId="701C4987" w14:textId="77777777" w:rsidR="00D47FE1" w:rsidRPr="004E51D1" w:rsidRDefault="00D47FE1" w:rsidP="003E7DD0">
      <w:pPr>
        <w:jc w:val="both"/>
        <w:rPr>
          <w:sz w:val="28"/>
          <w:szCs w:val="28"/>
          <w:lang w:eastAsia="en-US"/>
        </w:rPr>
      </w:pPr>
      <w:r w:rsidRPr="004E51D1">
        <w:rPr>
          <w:sz w:val="28"/>
          <w:szCs w:val="28"/>
          <w:lang w:eastAsia="en-US"/>
        </w:rPr>
        <w:lastRenderedPageBreak/>
        <w:t xml:space="preserve">За беременными женщинами, получающими </w:t>
      </w:r>
      <w:proofErr w:type="spellStart"/>
      <w:r w:rsidRPr="004E51D1">
        <w:rPr>
          <w:sz w:val="28"/>
          <w:szCs w:val="28"/>
          <w:lang w:eastAsia="en-US"/>
        </w:rPr>
        <w:t>эноксапарин</w:t>
      </w:r>
      <w:proofErr w:type="spellEnd"/>
      <w:r w:rsidRPr="004E51D1">
        <w:rPr>
          <w:sz w:val="28"/>
          <w:szCs w:val="28"/>
          <w:lang w:eastAsia="en-US"/>
        </w:rPr>
        <w:t xml:space="preserve"> натрия, следует вести тщательное наблюдение на предмет появления признаков кровотечения или избыточной </w:t>
      </w:r>
      <w:proofErr w:type="spellStart"/>
      <w:r w:rsidRPr="004E51D1">
        <w:rPr>
          <w:sz w:val="28"/>
          <w:szCs w:val="28"/>
          <w:lang w:eastAsia="en-US"/>
        </w:rPr>
        <w:t>антикоагуляции</w:t>
      </w:r>
      <w:proofErr w:type="spellEnd"/>
      <w:r w:rsidRPr="004E51D1">
        <w:rPr>
          <w:sz w:val="28"/>
          <w:szCs w:val="28"/>
          <w:lang w:eastAsia="en-US"/>
        </w:rPr>
        <w:t xml:space="preserve">. Женщин необходимо предупредить о риске кровотечения. В целом, согласно данным, нет доказательства увеличения риска кровотечения, тромбоцитопении и остеопороза по отношению к риску для небеременных женщин, кроме риска, существующего для беременных женщин с искусственными клапанами сердца. </w:t>
      </w:r>
    </w:p>
    <w:p w14:paraId="083DC4BF" w14:textId="77777777" w:rsidR="00C82961" w:rsidRPr="004E51D1" w:rsidRDefault="00C82961" w:rsidP="00C82961">
      <w:pPr>
        <w:jc w:val="both"/>
        <w:rPr>
          <w:sz w:val="28"/>
          <w:szCs w:val="28"/>
          <w:lang w:eastAsia="en-US"/>
        </w:rPr>
      </w:pPr>
      <w:r w:rsidRPr="004E51D1">
        <w:rPr>
          <w:sz w:val="28"/>
          <w:szCs w:val="28"/>
          <w:lang w:eastAsia="en-US"/>
        </w:rPr>
        <w:t xml:space="preserve">Однако, если планируется эпидуральная анестезия, профилактическое лечение гепарином следует прекратить, если это возможно, по крайней мере, за 12 часов до анестезии. </w:t>
      </w:r>
    </w:p>
    <w:p w14:paraId="44B17AE0" w14:textId="77777777" w:rsidR="00436172" w:rsidRPr="004E51D1" w:rsidRDefault="00436172" w:rsidP="003E7DD0">
      <w:pPr>
        <w:jc w:val="both"/>
        <w:rPr>
          <w:i/>
          <w:sz w:val="28"/>
          <w:szCs w:val="28"/>
          <w:lang w:eastAsia="en-US"/>
        </w:rPr>
      </w:pPr>
      <w:r w:rsidRPr="004E51D1">
        <w:rPr>
          <w:i/>
          <w:sz w:val="28"/>
          <w:szCs w:val="28"/>
          <w:lang w:eastAsia="en-US"/>
        </w:rPr>
        <w:t>Лактация</w:t>
      </w:r>
    </w:p>
    <w:p w14:paraId="67C3B2A6" w14:textId="77777777" w:rsidR="00D47FE1" w:rsidRPr="004E51D1" w:rsidRDefault="00D47FE1" w:rsidP="003E7DD0">
      <w:pPr>
        <w:jc w:val="both"/>
        <w:rPr>
          <w:sz w:val="28"/>
          <w:szCs w:val="28"/>
          <w:lang w:eastAsia="en-US"/>
        </w:rPr>
      </w:pPr>
      <w:r w:rsidRPr="004E51D1">
        <w:rPr>
          <w:sz w:val="28"/>
          <w:szCs w:val="28"/>
          <w:lang w:eastAsia="en-US"/>
        </w:rPr>
        <w:t xml:space="preserve">Неизвестно, выделяется ли неизмененный </w:t>
      </w:r>
      <w:proofErr w:type="spellStart"/>
      <w:r w:rsidRPr="004E51D1">
        <w:rPr>
          <w:sz w:val="28"/>
          <w:szCs w:val="28"/>
          <w:lang w:eastAsia="en-US"/>
        </w:rPr>
        <w:t>эноксапарин</w:t>
      </w:r>
      <w:proofErr w:type="spellEnd"/>
      <w:r w:rsidRPr="004E51D1">
        <w:rPr>
          <w:sz w:val="28"/>
          <w:szCs w:val="28"/>
          <w:lang w:eastAsia="en-US"/>
        </w:rPr>
        <w:t xml:space="preserve"> натрия в грудное молоко у человека. Пероральное всасывание </w:t>
      </w:r>
      <w:proofErr w:type="spellStart"/>
      <w:r w:rsidRPr="004E51D1">
        <w:rPr>
          <w:sz w:val="28"/>
          <w:szCs w:val="28"/>
          <w:lang w:eastAsia="en-US"/>
        </w:rPr>
        <w:t>эноксапарина</w:t>
      </w:r>
      <w:proofErr w:type="spellEnd"/>
      <w:r w:rsidRPr="004E51D1">
        <w:rPr>
          <w:sz w:val="28"/>
          <w:szCs w:val="28"/>
          <w:lang w:eastAsia="en-US"/>
        </w:rPr>
        <w:t xml:space="preserve"> натрия маловероятно. </w:t>
      </w:r>
      <w:proofErr w:type="spellStart"/>
      <w:r w:rsidRPr="004E51D1">
        <w:rPr>
          <w:sz w:val="28"/>
          <w:szCs w:val="28"/>
          <w:lang w:eastAsia="en-US"/>
        </w:rPr>
        <w:t>Катенокс</w:t>
      </w:r>
      <w:proofErr w:type="spellEnd"/>
      <w:r w:rsidRPr="004E51D1">
        <w:rPr>
          <w:sz w:val="28"/>
          <w:szCs w:val="28"/>
          <w:lang w:eastAsia="en-US"/>
        </w:rPr>
        <w:t xml:space="preserve"> можно применять во время грудного вскармливания.</w:t>
      </w:r>
    </w:p>
    <w:p w14:paraId="59A96AE3" w14:textId="77777777" w:rsidR="00D47FE1" w:rsidRPr="004E51D1" w:rsidRDefault="00D47FE1" w:rsidP="003E7DD0">
      <w:pPr>
        <w:jc w:val="both"/>
        <w:rPr>
          <w:i/>
          <w:sz w:val="28"/>
          <w:szCs w:val="28"/>
          <w:lang w:eastAsia="en-US"/>
        </w:rPr>
      </w:pPr>
      <w:r w:rsidRPr="004E51D1">
        <w:rPr>
          <w:i/>
          <w:sz w:val="28"/>
          <w:szCs w:val="28"/>
          <w:lang w:eastAsia="en-US"/>
        </w:rPr>
        <w:t xml:space="preserve">Фертильность </w:t>
      </w:r>
    </w:p>
    <w:p w14:paraId="53766579" w14:textId="77777777" w:rsidR="00D47FE1" w:rsidRPr="004E51D1" w:rsidRDefault="00D47FE1" w:rsidP="003E7DD0">
      <w:pPr>
        <w:jc w:val="both"/>
        <w:rPr>
          <w:sz w:val="28"/>
          <w:szCs w:val="28"/>
          <w:lang w:eastAsia="en-US"/>
        </w:rPr>
      </w:pPr>
      <w:r w:rsidRPr="004E51D1">
        <w:rPr>
          <w:sz w:val="28"/>
          <w:szCs w:val="28"/>
          <w:lang w:eastAsia="en-US"/>
        </w:rPr>
        <w:t xml:space="preserve">Клинических данных по </w:t>
      </w:r>
      <w:proofErr w:type="spellStart"/>
      <w:r w:rsidRPr="004E51D1">
        <w:rPr>
          <w:sz w:val="28"/>
          <w:szCs w:val="28"/>
          <w:lang w:eastAsia="en-US"/>
        </w:rPr>
        <w:t>эноксапарину</w:t>
      </w:r>
      <w:proofErr w:type="spellEnd"/>
      <w:r w:rsidRPr="004E51D1">
        <w:rPr>
          <w:sz w:val="28"/>
          <w:szCs w:val="28"/>
          <w:lang w:eastAsia="en-US"/>
        </w:rPr>
        <w:t xml:space="preserve"> натрия в отношении фертильности нет. </w:t>
      </w:r>
    </w:p>
    <w:p w14:paraId="001FB917" w14:textId="77777777" w:rsidR="00D47FE1" w:rsidRPr="004E51D1" w:rsidRDefault="00D47FE1" w:rsidP="003E7DD0">
      <w:pPr>
        <w:jc w:val="both"/>
        <w:rPr>
          <w:sz w:val="28"/>
          <w:szCs w:val="28"/>
          <w:u w:val="single"/>
          <w:lang w:eastAsia="en-US"/>
        </w:rPr>
      </w:pPr>
      <w:r w:rsidRPr="004E51D1">
        <w:rPr>
          <w:sz w:val="28"/>
          <w:szCs w:val="28"/>
          <w:u w:val="single"/>
          <w:lang w:eastAsia="en-US"/>
        </w:rPr>
        <w:t>Шкала делений</w:t>
      </w:r>
    </w:p>
    <w:p w14:paraId="5C0C4A92" w14:textId="77777777" w:rsidR="00D47FE1" w:rsidRPr="004E51D1" w:rsidRDefault="00D47FE1" w:rsidP="003E7DD0">
      <w:pPr>
        <w:jc w:val="both"/>
        <w:rPr>
          <w:sz w:val="28"/>
          <w:szCs w:val="28"/>
          <w:lang w:eastAsia="en-US"/>
        </w:rPr>
      </w:pPr>
      <w:r w:rsidRPr="004E51D1">
        <w:rPr>
          <w:sz w:val="28"/>
          <w:szCs w:val="28"/>
          <w:lang w:eastAsia="en-US"/>
        </w:rPr>
        <w:t xml:space="preserve">Предварительно заполненные шприцы препарата </w:t>
      </w:r>
      <w:proofErr w:type="spellStart"/>
      <w:r w:rsidRPr="004E51D1">
        <w:rPr>
          <w:sz w:val="28"/>
          <w:szCs w:val="28"/>
          <w:lang w:eastAsia="en-US"/>
        </w:rPr>
        <w:t>Катенокс</w:t>
      </w:r>
      <w:proofErr w:type="spellEnd"/>
      <w:r w:rsidRPr="004E51D1">
        <w:rPr>
          <w:sz w:val="28"/>
          <w:szCs w:val="28"/>
          <w:lang w:eastAsia="en-US"/>
        </w:rPr>
        <w:t>, раствор для инъекций 2000 анти-Ха МЕ/0.2 мл, 4000 анти-Ха МЕ/0.4 мл не имеют шкалы делений.</w:t>
      </w:r>
    </w:p>
    <w:p w14:paraId="5E95AB1D" w14:textId="77777777" w:rsidR="00CA757D" w:rsidRPr="004E51D1" w:rsidRDefault="00CA757D" w:rsidP="003E7DD0">
      <w:pPr>
        <w:jc w:val="both"/>
        <w:rPr>
          <w:bCs/>
          <w:i/>
          <w:sz w:val="28"/>
          <w:szCs w:val="28"/>
          <w:lang w:eastAsia="en-US"/>
        </w:rPr>
      </w:pPr>
      <w:r w:rsidRPr="004E51D1">
        <w:rPr>
          <w:bCs/>
          <w:i/>
          <w:sz w:val="28"/>
          <w:szCs w:val="28"/>
          <w:lang w:eastAsia="en-US"/>
        </w:rPr>
        <w:t>Особенности влияния лекарственного средства на способность управлять транспортным средством или потенциально опасными механизмами</w:t>
      </w:r>
    </w:p>
    <w:p w14:paraId="2ED26B3A" w14:textId="77777777" w:rsidR="00D47FE1" w:rsidRPr="004E51D1" w:rsidRDefault="00D47FE1" w:rsidP="00D80AD5">
      <w:pPr>
        <w:jc w:val="both"/>
        <w:rPr>
          <w:strike/>
          <w:sz w:val="28"/>
          <w:szCs w:val="28"/>
          <w:lang w:eastAsia="hu-HU"/>
        </w:rPr>
      </w:pPr>
      <w:proofErr w:type="spellStart"/>
      <w:r w:rsidRPr="004E51D1">
        <w:rPr>
          <w:bCs/>
          <w:color w:val="000000"/>
          <w:sz w:val="28"/>
          <w:szCs w:val="28"/>
          <w:lang w:eastAsia="hu-HU"/>
        </w:rPr>
        <w:t>Эноксапарин</w:t>
      </w:r>
      <w:proofErr w:type="spellEnd"/>
      <w:r w:rsidRPr="004E51D1">
        <w:rPr>
          <w:bCs/>
          <w:color w:val="000000"/>
          <w:sz w:val="28"/>
          <w:szCs w:val="28"/>
          <w:lang w:eastAsia="hu-HU"/>
        </w:rPr>
        <w:t xml:space="preserve"> натрия оказывает незначительное влияние </w:t>
      </w:r>
      <w:r w:rsidRPr="004E51D1">
        <w:rPr>
          <w:sz w:val="28"/>
          <w:szCs w:val="28"/>
          <w:lang w:eastAsia="hu-HU"/>
        </w:rPr>
        <w:t>на способность управлять транспортными средствами и работать с механизмами или вовсе не оказывает никакого влияния.</w:t>
      </w:r>
    </w:p>
    <w:p w14:paraId="596854EE" w14:textId="77777777" w:rsidR="00726CCF" w:rsidRPr="004E51D1" w:rsidRDefault="00726CCF" w:rsidP="00436172">
      <w:pPr>
        <w:jc w:val="both"/>
        <w:rPr>
          <w:sz w:val="28"/>
          <w:szCs w:val="28"/>
          <w:lang w:eastAsia="en-US"/>
        </w:rPr>
      </w:pPr>
    </w:p>
    <w:p w14:paraId="128F0588" w14:textId="77777777" w:rsidR="00084A63" w:rsidRPr="004E51D1" w:rsidRDefault="00084A63" w:rsidP="00D80AD5">
      <w:pPr>
        <w:rPr>
          <w:b/>
          <w:sz w:val="28"/>
          <w:szCs w:val="28"/>
          <w:lang w:eastAsia="en-US"/>
        </w:rPr>
      </w:pPr>
      <w:r w:rsidRPr="004E51D1">
        <w:rPr>
          <w:b/>
          <w:sz w:val="28"/>
          <w:szCs w:val="28"/>
          <w:lang w:eastAsia="en-US"/>
        </w:rPr>
        <w:t>Рекомендации по применению</w:t>
      </w:r>
    </w:p>
    <w:p w14:paraId="13D3E86F" w14:textId="77777777" w:rsidR="00084A63" w:rsidRPr="004E51D1" w:rsidRDefault="00084A63" w:rsidP="00D80AD5">
      <w:pPr>
        <w:rPr>
          <w:b/>
          <w:i/>
          <w:sz w:val="28"/>
          <w:szCs w:val="28"/>
          <w:lang w:eastAsia="en-US"/>
        </w:rPr>
      </w:pPr>
      <w:r w:rsidRPr="004E51D1">
        <w:rPr>
          <w:b/>
          <w:i/>
          <w:sz w:val="28"/>
          <w:szCs w:val="28"/>
          <w:lang w:eastAsia="en-US"/>
        </w:rPr>
        <w:t xml:space="preserve">Режим дозирования </w:t>
      </w:r>
    </w:p>
    <w:p w14:paraId="43889C60" w14:textId="77777777" w:rsidR="003F6F17" w:rsidRPr="004E51D1" w:rsidRDefault="003F6F17" w:rsidP="003F6F17">
      <w:pPr>
        <w:jc w:val="both"/>
        <w:rPr>
          <w:bCs/>
          <w:i/>
          <w:sz w:val="28"/>
          <w:szCs w:val="28"/>
        </w:rPr>
      </w:pPr>
      <w:bookmarkStart w:id="2" w:name="2175220274"/>
      <w:bookmarkEnd w:id="2"/>
      <w:r w:rsidRPr="004E51D1">
        <w:rPr>
          <w:bCs/>
          <w:i/>
          <w:sz w:val="28"/>
          <w:szCs w:val="28"/>
        </w:rPr>
        <w:t xml:space="preserve">Профилактика венозных тромбоэмболических заболеваний при хирургических вмешательствах умеренного или высокого риска </w:t>
      </w:r>
    </w:p>
    <w:p w14:paraId="6AE3F599" w14:textId="77777777" w:rsidR="003F6F17" w:rsidRPr="004E51D1" w:rsidRDefault="003F6F17" w:rsidP="003F6F17">
      <w:pPr>
        <w:jc w:val="both"/>
        <w:rPr>
          <w:iCs/>
          <w:sz w:val="28"/>
          <w:szCs w:val="28"/>
        </w:rPr>
      </w:pPr>
      <w:r w:rsidRPr="004E51D1">
        <w:rPr>
          <w:iCs/>
          <w:sz w:val="28"/>
          <w:szCs w:val="28"/>
        </w:rPr>
        <w:t xml:space="preserve">Индивидуальный тромбоэмболический риск для пациентов может быть оценен с помощью </w:t>
      </w:r>
      <w:proofErr w:type="spellStart"/>
      <w:r w:rsidRPr="004E51D1">
        <w:rPr>
          <w:iCs/>
          <w:sz w:val="28"/>
          <w:szCs w:val="28"/>
        </w:rPr>
        <w:t>валидированной</w:t>
      </w:r>
      <w:proofErr w:type="spellEnd"/>
      <w:r w:rsidRPr="004E51D1">
        <w:rPr>
          <w:iCs/>
          <w:sz w:val="28"/>
          <w:szCs w:val="28"/>
        </w:rPr>
        <w:t xml:space="preserve"> модели стратификации риска.</w:t>
      </w:r>
    </w:p>
    <w:p w14:paraId="4651EFE9" w14:textId="77777777" w:rsidR="003F6F17" w:rsidRPr="004E51D1" w:rsidRDefault="003F6F17" w:rsidP="003F6F17">
      <w:pPr>
        <w:jc w:val="both"/>
        <w:rPr>
          <w:sz w:val="28"/>
          <w:szCs w:val="28"/>
        </w:rPr>
      </w:pPr>
      <w:r w:rsidRPr="004E51D1">
        <w:rPr>
          <w:sz w:val="28"/>
          <w:szCs w:val="28"/>
        </w:rPr>
        <w:t xml:space="preserve">- пациентам с умеренным риском тромбообразования 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2 000 МЕ (20 мг) один раз в сутки подкожно. Доказана эффективность и безопасность дооперационного начала (за 2 часа до хирургического вмешательства) терапии </w:t>
      </w:r>
      <w:proofErr w:type="spellStart"/>
      <w:r w:rsidRPr="004E51D1">
        <w:rPr>
          <w:sz w:val="28"/>
          <w:szCs w:val="28"/>
        </w:rPr>
        <w:t>эноксапарином</w:t>
      </w:r>
      <w:proofErr w:type="spellEnd"/>
      <w:r w:rsidRPr="004E51D1">
        <w:rPr>
          <w:sz w:val="28"/>
          <w:szCs w:val="28"/>
        </w:rPr>
        <w:t xml:space="preserve"> натрия 2 000 МЕ (20 мг) в хирургии умеренного риска. </w:t>
      </w:r>
    </w:p>
    <w:p w14:paraId="506D84E7" w14:textId="77777777" w:rsidR="003F6F17" w:rsidRPr="004E51D1" w:rsidRDefault="003F6F17" w:rsidP="003F6F17">
      <w:pPr>
        <w:jc w:val="both"/>
        <w:rPr>
          <w:sz w:val="28"/>
          <w:szCs w:val="28"/>
        </w:rPr>
      </w:pPr>
      <w:r w:rsidRPr="004E51D1">
        <w:rPr>
          <w:sz w:val="28"/>
          <w:szCs w:val="28"/>
        </w:rPr>
        <w:t xml:space="preserve">- у пациентов с умеренным риском лечение </w:t>
      </w:r>
      <w:proofErr w:type="spellStart"/>
      <w:r w:rsidRPr="004E51D1">
        <w:rPr>
          <w:sz w:val="28"/>
          <w:szCs w:val="28"/>
        </w:rPr>
        <w:t>эноксапарином</w:t>
      </w:r>
      <w:proofErr w:type="spellEnd"/>
      <w:r w:rsidRPr="004E51D1">
        <w:rPr>
          <w:sz w:val="28"/>
          <w:szCs w:val="28"/>
        </w:rPr>
        <w:t xml:space="preserve"> натрия следует поддерживать в течение минимум 7-10 дней независимо от статуса выздоровления (двигательной функции). Профилактику необходимо </w:t>
      </w:r>
      <w:r w:rsidRPr="004E51D1">
        <w:rPr>
          <w:sz w:val="28"/>
          <w:szCs w:val="28"/>
        </w:rPr>
        <w:lastRenderedPageBreak/>
        <w:t>продолжать до тех пор, пока у пациента значительно не улучшится двигательная активность.</w:t>
      </w:r>
    </w:p>
    <w:p w14:paraId="149061CB" w14:textId="77777777" w:rsidR="003F6F17" w:rsidRPr="004E51D1" w:rsidRDefault="003F6F17" w:rsidP="003F6F17">
      <w:pPr>
        <w:jc w:val="both"/>
        <w:rPr>
          <w:sz w:val="28"/>
          <w:szCs w:val="28"/>
        </w:rPr>
      </w:pPr>
      <w:r w:rsidRPr="004E51D1">
        <w:rPr>
          <w:sz w:val="28"/>
          <w:szCs w:val="28"/>
        </w:rPr>
        <w:t>- пациентам с повышенным риском развития тромбообразования рекомендуемая доза составляет 4</w:t>
      </w:r>
      <w:r w:rsidRPr="004E51D1">
        <w:rPr>
          <w:sz w:val="28"/>
          <w:szCs w:val="28"/>
          <w:lang w:val="en-GB"/>
        </w:rPr>
        <w:t> </w:t>
      </w:r>
      <w:r w:rsidRPr="004E51D1">
        <w:rPr>
          <w:sz w:val="28"/>
          <w:szCs w:val="28"/>
        </w:rPr>
        <w:t xml:space="preserve">000 МЕ (40 мг) 1 раз в сутки подкожно, предпочтительно начать за 12 часов до хирургического вмешательства. В случае необходимости начала дооперационного профилактического лечения </w:t>
      </w:r>
      <w:proofErr w:type="spellStart"/>
      <w:r w:rsidRPr="004E51D1">
        <w:rPr>
          <w:sz w:val="28"/>
          <w:szCs w:val="28"/>
        </w:rPr>
        <w:t>эноксапарином</w:t>
      </w:r>
      <w:proofErr w:type="spellEnd"/>
      <w:r w:rsidRPr="004E51D1">
        <w:rPr>
          <w:sz w:val="28"/>
          <w:szCs w:val="28"/>
        </w:rPr>
        <w:t xml:space="preserve"> натрия раньше, чем за 12 часов до операции (например, пациент повышенного риска, ожидающий отсроченной ортопедической операции), последняя инъекция должна быть введена не позднее, чем за 12 часов до операции и инъекции возобновляются через 12 часов после операции.</w:t>
      </w:r>
    </w:p>
    <w:p w14:paraId="0204745A" w14:textId="77777777" w:rsidR="003F6F17" w:rsidRPr="004E51D1" w:rsidRDefault="003F6F17" w:rsidP="003F6F17">
      <w:pPr>
        <w:numPr>
          <w:ilvl w:val="0"/>
          <w:numId w:val="22"/>
        </w:numPr>
        <w:ind w:left="709"/>
        <w:jc w:val="both"/>
        <w:rPr>
          <w:sz w:val="28"/>
          <w:szCs w:val="28"/>
        </w:rPr>
      </w:pPr>
      <w:r w:rsidRPr="004E51D1">
        <w:rPr>
          <w:sz w:val="28"/>
          <w:szCs w:val="28"/>
        </w:rPr>
        <w:t>Для пациентов, перенесших крупную ортопедическую операцию, рекомендована продленная профилактика тромбозов до 5 недель.</w:t>
      </w:r>
    </w:p>
    <w:p w14:paraId="7FF05EBB" w14:textId="77777777" w:rsidR="003F6F17" w:rsidRPr="004E51D1" w:rsidRDefault="003F6F17" w:rsidP="003F6F17">
      <w:pPr>
        <w:numPr>
          <w:ilvl w:val="0"/>
          <w:numId w:val="22"/>
        </w:numPr>
        <w:ind w:left="709"/>
        <w:jc w:val="both"/>
        <w:rPr>
          <w:sz w:val="28"/>
          <w:szCs w:val="28"/>
        </w:rPr>
      </w:pPr>
      <w:r w:rsidRPr="004E51D1">
        <w:rPr>
          <w:sz w:val="28"/>
          <w:szCs w:val="28"/>
        </w:rPr>
        <w:t>Для пациентов с повышенным риском развития венозной тромбоэмболии, перенесших операцию на органах брюшной полости или органах таза по поводу злокачественного новообразования, рекомендована продленная профилактика тромбозов до 4 недель.</w:t>
      </w:r>
    </w:p>
    <w:p w14:paraId="436F3B6C" w14:textId="77777777" w:rsidR="003F6F17" w:rsidRPr="004E51D1" w:rsidRDefault="003F6F17" w:rsidP="003F6F17">
      <w:pPr>
        <w:jc w:val="both"/>
        <w:rPr>
          <w:i/>
          <w:sz w:val="28"/>
          <w:szCs w:val="28"/>
        </w:rPr>
      </w:pPr>
      <w:r w:rsidRPr="004E51D1">
        <w:rPr>
          <w:i/>
          <w:sz w:val="28"/>
          <w:szCs w:val="28"/>
        </w:rPr>
        <w:t xml:space="preserve">Профилактика венозных тромбоэмболических заболеваний у терапевтических пациентов </w:t>
      </w:r>
    </w:p>
    <w:p w14:paraId="1D478902" w14:textId="77777777" w:rsidR="003F6F17" w:rsidRPr="004E51D1" w:rsidRDefault="003F6F17" w:rsidP="003F6F17">
      <w:pPr>
        <w:jc w:val="both"/>
        <w:rPr>
          <w:sz w:val="28"/>
          <w:szCs w:val="28"/>
        </w:rPr>
      </w:pPr>
      <w:r w:rsidRPr="004E51D1">
        <w:rPr>
          <w:sz w:val="28"/>
          <w:szCs w:val="28"/>
        </w:rPr>
        <w:t xml:space="preserve">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4 000 МЕ (40 мг), вводится 1 раз в сутки путем подкожной инъекции. </w:t>
      </w:r>
    </w:p>
    <w:p w14:paraId="5C5FE558" w14:textId="77777777" w:rsidR="003F6F17" w:rsidRPr="004E51D1" w:rsidRDefault="003F6F17" w:rsidP="003F6F17">
      <w:pPr>
        <w:jc w:val="both"/>
        <w:rPr>
          <w:sz w:val="28"/>
          <w:szCs w:val="28"/>
        </w:rPr>
      </w:pPr>
      <w:r w:rsidRPr="004E51D1">
        <w:rPr>
          <w:sz w:val="28"/>
          <w:szCs w:val="28"/>
        </w:rPr>
        <w:t xml:space="preserve">Лечение </w:t>
      </w:r>
      <w:proofErr w:type="spellStart"/>
      <w:r w:rsidRPr="004E51D1">
        <w:rPr>
          <w:sz w:val="28"/>
          <w:szCs w:val="28"/>
        </w:rPr>
        <w:t>эноксапарином</w:t>
      </w:r>
      <w:proofErr w:type="spellEnd"/>
      <w:r w:rsidRPr="004E51D1">
        <w:rPr>
          <w:sz w:val="28"/>
          <w:szCs w:val="28"/>
        </w:rPr>
        <w:t xml:space="preserve"> натрия назначается минимум на 6-14 дней независимо от статуса выздоровления (двигательной функции). На данный момент нет данных касаемо пользы в отношении терапии, проводимой в течение более 14 дней. </w:t>
      </w:r>
    </w:p>
    <w:p w14:paraId="65EE5614" w14:textId="77777777" w:rsidR="003F6F17" w:rsidRPr="004E51D1" w:rsidRDefault="003F6F17" w:rsidP="003F6F17">
      <w:pPr>
        <w:jc w:val="both"/>
        <w:rPr>
          <w:i/>
          <w:sz w:val="28"/>
          <w:szCs w:val="28"/>
        </w:rPr>
      </w:pPr>
      <w:r w:rsidRPr="004E51D1">
        <w:rPr>
          <w:bCs/>
          <w:i/>
          <w:sz w:val="28"/>
          <w:szCs w:val="28"/>
        </w:rPr>
        <w:t xml:space="preserve">Лечение тромбоза глубоких вен (ТГВ) в сочетании с тромбоэмболией легочной артерии (ТЭЛА) </w:t>
      </w:r>
    </w:p>
    <w:p w14:paraId="036939CD" w14:textId="77777777" w:rsidR="003F6F17" w:rsidRPr="004E51D1" w:rsidRDefault="003F6F17" w:rsidP="003F6F17">
      <w:pPr>
        <w:jc w:val="both"/>
        <w:rPr>
          <w:sz w:val="28"/>
          <w:szCs w:val="28"/>
        </w:rPr>
      </w:pPr>
      <w:proofErr w:type="spellStart"/>
      <w:r w:rsidRPr="004E51D1">
        <w:rPr>
          <w:sz w:val="28"/>
          <w:szCs w:val="28"/>
        </w:rPr>
        <w:t>Эноксапарин</w:t>
      </w:r>
      <w:proofErr w:type="spellEnd"/>
      <w:r w:rsidRPr="004E51D1">
        <w:rPr>
          <w:sz w:val="28"/>
          <w:szCs w:val="28"/>
        </w:rPr>
        <w:t xml:space="preserve"> натрия вводится подкожно один раз в сутки в дозе 150 МЕ/кг (1.5 мг/кг) или два раза в сутки в дозе 100 МЕ/кг (1 мг/кг).</w:t>
      </w:r>
    </w:p>
    <w:p w14:paraId="76DB1C99" w14:textId="77777777" w:rsidR="003F6F17" w:rsidRPr="004E51D1" w:rsidRDefault="003F6F17" w:rsidP="003F6F17">
      <w:pPr>
        <w:jc w:val="both"/>
        <w:rPr>
          <w:sz w:val="28"/>
          <w:szCs w:val="28"/>
        </w:rPr>
      </w:pPr>
      <w:r w:rsidRPr="004E51D1">
        <w:rPr>
          <w:sz w:val="28"/>
          <w:szCs w:val="28"/>
        </w:rPr>
        <w:t xml:space="preserve">Режим должен подбирать врач на основании индивидуальной оценки, включая оценку риска тромбоэмболических осложнений и риска кровотечения. Пациентам без осложнений с низким риском рецидива венозной тромбоэмболии следует назначать дозу 150 МЕ/кг (1.5 мг/кг), которая вводится один раз в сутки. Всем другим пациентам (а также с ожирением, с симптоматической ТЭЛА, злокачественным новообразованием, рецидивирующей венозной тромбоэмболией или проксимальным тромбозом (тромбозом подвздошной вены) следует назначать дозу 100 МЕ/кг (1 мг/кг), которая вводится два раза в сутки. Лечение </w:t>
      </w:r>
      <w:proofErr w:type="spellStart"/>
      <w:r w:rsidRPr="004E51D1">
        <w:rPr>
          <w:sz w:val="28"/>
          <w:szCs w:val="28"/>
        </w:rPr>
        <w:t>эноксапарином</w:t>
      </w:r>
      <w:proofErr w:type="spellEnd"/>
      <w:r w:rsidRPr="004E51D1">
        <w:rPr>
          <w:sz w:val="28"/>
          <w:szCs w:val="28"/>
        </w:rPr>
        <w:t xml:space="preserve"> натрия назначается в среднем в течении 10 дней. При необходимости следует начать пероральную антикоагулянтную терапию. </w:t>
      </w:r>
    </w:p>
    <w:p w14:paraId="4EE52373" w14:textId="77777777" w:rsidR="003F6F17" w:rsidRPr="004E51D1" w:rsidRDefault="003F6F17" w:rsidP="003F6F17">
      <w:pPr>
        <w:jc w:val="both"/>
        <w:rPr>
          <w:sz w:val="28"/>
          <w:szCs w:val="28"/>
        </w:rPr>
      </w:pPr>
      <w:r w:rsidRPr="004E51D1">
        <w:rPr>
          <w:sz w:val="28"/>
          <w:szCs w:val="28"/>
        </w:rPr>
        <w:t xml:space="preserve">При длительном лечении тромбоза глубоких вен (ТГВ) и тромбоэмболии легочной артерии (ТЭЛА) и профилактике их рецидивов у пациентов с </w:t>
      </w:r>
      <w:r w:rsidRPr="004E51D1">
        <w:rPr>
          <w:sz w:val="28"/>
          <w:szCs w:val="28"/>
        </w:rPr>
        <w:lastRenderedPageBreak/>
        <w:t>активной онкологической патологией врачи должны тщательно оценивать индивидуальные тромбоэмболические и кровоточащие риски пациента.</w:t>
      </w:r>
    </w:p>
    <w:p w14:paraId="478DD502" w14:textId="77777777" w:rsidR="003F6F17" w:rsidRPr="004E51D1" w:rsidRDefault="003F6F17" w:rsidP="003F6F17">
      <w:pPr>
        <w:jc w:val="both"/>
        <w:rPr>
          <w:sz w:val="28"/>
          <w:szCs w:val="28"/>
        </w:rPr>
      </w:pPr>
      <w:r w:rsidRPr="004E51D1">
        <w:rPr>
          <w:sz w:val="28"/>
          <w:szCs w:val="28"/>
        </w:rPr>
        <w:t>Рекомендуемая доза составляет 100 МЕ/кг (1 мг/кг), вводимых дважды в день путем СК инъекций в течение 5 - 10 дней, затем 150 МЕ/кг (1,5 мг/кг) один раз в день СК инъекциями до 6 месяцев. После 6 месяцев лечения следует пересмотреть пользу от непрерывной антикоагулянтной терапии.</w:t>
      </w:r>
    </w:p>
    <w:p w14:paraId="27318C96" w14:textId="77777777" w:rsidR="003F6F17" w:rsidRPr="004E51D1" w:rsidRDefault="003F6F17" w:rsidP="003F6F17">
      <w:pPr>
        <w:jc w:val="both"/>
        <w:rPr>
          <w:i/>
          <w:sz w:val="28"/>
          <w:szCs w:val="28"/>
        </w:rPr>
      </w:pPr>
      <w:r w:rsidRPr="004E51D1">
        <w:rPr>
          <w:bCs/>
          <w:i/>
          <w:sz w:val="28"/>
          <w:szCs w:val="28"/>
        </w:rPr>
        <w:t xml:space="preserve">Профилактика тромбообразования во время гемодиализа </w:t>
      </w:r>
    </w:p>
    <w:p w14:paraId="32EB2EAF" w14:textId="77777777" w:rsidR="003F6F17" w:rsidRPr="004E51D1" w:rsidRDefault="003F6F17" w:rsidP="003F6F17">
      <w:pPr>
        <w:jc w:val="both"/>
        <w:rPr>
          <w:sz w:val="28"/>
          <w:szCs w:val="28"/>
        </w:rPr>
      </w:pPr>
      <w:r w:rsidRPr="004E51D1">
        <w:rPr>
          <w:sz w:val="28"/>
          <w:szCs w:val="28"/>
        </w:rPr>
        <w:t xml:space="preserve">Рекомендуемая доза </w:t>
      </w:r>
      <w:proofErr w:type="spellStart"/>
      <w:r w:rsidRPr="004E51D1">
        <w:rPr>
          <w:sz w:val="28"/>
          <w:szCs w:val="28"/>
        </w:rPr>
        <w:t>эноксапарина</w:t>
      </w:r>
      <w:proofErr w:type="spellEnd"/>
      <w:r w:rsidRPr="004E51D1">
        <w:rPr>
          <w:sz w:val="28"/>
          <w:szCs w:val="28"/>
        </w:rPr>
        <w:t xml:space="preserve"> натрия составляет 100 МЕ/кг (1 мг/кг). У </w:t>
      </w:r>
      <w:proofErr w:type="spellStart"/>
      <w:r w:rsidRPr="004E51D1">
        <w:rPr>
          <w:sz w:val="28"/>
          <w:szCs w:val="28"/>
        </w:rPr>
        <w:t>гемодиализных</w:t>
      </w:r>
      <w:proofErr w:type="spellEnd"/>
      <w:r w:rsidRPr="004E51D1">
        <w:rPr>
          <w:sz w:val="28"/>
          <w:szCs w:val="28"/>
        </w:rPr>
        <w:t xml:space="preserve"> пациентов с высоким риском развития кровотечения доза должна быть снижена до 50 МЕ/кг (0.5 мг/кг) (двойной сосудистый доступ) либо 75 МЕ/кг (0.75 мг/кг) (</w:t>
      </w:r>
      <w:proofErr w:type="spellStart"/>
      <w:r w:rsidRPr="004E51D1">
        <w:rPr>
          <w:sz w:val="28"/>
          <w:szCs w:val="28"/>
        </w:rPr>
        <w:t>однососудистый</w:t>
      </w:r>
      <w:proofErr w:type="spellEnd"/>
      <w:r w:rsidRPr="004E51D1">
        <w:rPr>
          <w:sz w:val="28"/>
          <w:szCs w:val="28"/>
        </w:rPr>
        <w:t xml:space="preserve"> доступ).</w:t>
      </w:r>
    </w:p>
    <w:p w14:paraId="036AC166" w14:textId="77777777" w:rsidR="003F6F17" w:rsidRPr="004E51D1" w:rsidRDefault="003F6F17" w:rsidP="003F6F17">
      <w:pPr>
        <w:jc w:val="both"/>
        <w:rPr>
          <w:sz w:val="28"/>
          <w:szCs w:val="28"/>
        </w:rPr>
      </w:pPr>
      <w:r w:rsidRPr="004E51D1">
        <w:rPr>
          <w:sz w:val="28"/>
          <w:szCs w:val="28"/>
        </w:rPr>
        <w:t xml:space="preserve">Во время гемодиализа </w:t>
      </w:r>
      <w:proofErr w:type="spellStart"/>
      <w:r w:rsidRPr="004E51D1">
        <w:rPr>
          <w:sz w:val="28"/>
          <w:szCs w:val="28"/>
        </w:rPr>
        <w:t>эноксапарин</w:t>
      </w:r>
      <w:proofErr w:type="spellEnd"/>
      <w:r w:rsidRPr="004E51D1">
        <w:rPr>
          <w:sz w:val="28"/>
          <w:szCs w:val="28"/>
        </w:rPr>
        <w:t xml:space="preserve"> натрия вводят в артериальную линию диализного контура в начале сеанса диализа. Обычно эта доза эффективна только для </w:t>
      </w:r>
      <w:proofErr w:type="spellStart"/>
      <w:r w:rsidRPr="004E51D1">
        <w:rPr>
          <w:sz w:val="28"/>
          <w:szCs w:val="28"/>
        </w:rPr>
        <w:t>гемодиализных</w:t>
      </w:r>
      <w:proofErr w:type="spellEnd"/>
      <w:r w:rsidRPr="004E51D1">
        <w:rPr>
          <w:sz w:val="28"/>
          <w:szCs w:val="28"/>
        </w:rPr>
        <w:t xml:space="preserve"> сеансов длительностью 4 часа. Однако при выявлении фибриновых колец, например, после сеанса длиннее обычного, можно назначить еще дозу 50-100 МЕ/кг (0.5-1 мг/кг). По пациентам, применявшим </w:t>
      </w:r>
      <w:proofErr w:type="spellStart"/>
      <w:r w:rsidRPr="004E51D1">
        <w:rPr>
          <w:sz w:val="28"/>
          <w:szCs w:val="28"/>
        </w:rPr>
        <w:t>эноксапарин</w:t>
      </w:r>
      <w:proofErr w:type="spellEnd"/>
      <w:r w:rsidRPr="004E51D1">
        <w:rPr>
          <w:sz w:val="28"/>
          <w:szCs w:val="28"/>
        </w:rPr>
        <w:t xml:space="preserve"> натрия для профилактики или лечения и во время сессий гемодиализа, данных нет.</w:t>
      </w:r>
    </w:p>
    <w:p w14:paraId="318A2705" w14:textId="77777777" w:rsidR="003F6F17" w:rsidRPr="004E51D1" w:rsidRDefault="003F6F17" w:rsidP="003F6F17">
      <w:pPr>
        <w:jc w:val="both"/>
        <w:rPr>
          <w:i/>
          <w:sz w:val="28"/>
          <w:szCs w:val="28"/>
        </w:rPr>
      </w:pPr>
      <w:r w:rsidRPr="004E51D1">
        <w:rPr>
          <w:bCs/>
          <w:i/>
          <w:sz w:val="28"/>
          <w:szCs w:val="28"/>
        </w:rPr>
        <w:t>Острый коронарный синдром: лечение нестабильной стенокардии и инфаркта миокарда без подъема сегмента ST</w:t>
      </w:r>
    </w:p>
    <w:p w14:paraId="1C07B0CD" w14:textId="77777777" w:rsidR="003F6F17" w:rsidRPr="004E51D1" w:rsidRDefault="003F6F17" w:rsidP="003F6F17">
      <w:pPr>
        <w:jc w:val="both"/>
        <w:rPr>
          <w:sz w:val="28"/>
          <w:szCs w:val="28"/>
        </w:rPr>
      </w:pPr>
      <w:r w:rsidRPr="004E51D1">
        <w:rPr>
          <w:bCs/>
          <w:sz w:val="28"/>
          <w:szCs w:val="28"/>
        </w:rPr>
        <w:t>Для лечения нестабильной стенокардии</w:t>
      </w:r>
      <w:r w:rsidRPr="004E51D1">
        <w:rPr>
          <w:sz w:val="28"/>
          <w:szCs w:val="28"/>
        </w:rPr>
        <w:t xml:space="preserve"> </w:t>
      </w:r>
      <w:r w:rsidRPr="004E51D1">
        <w:rPr>
          <w:bCs/>
          <w:sz w:val="28"/>
          <w:szCs w:val="28"/>
        </w:rPr>
        <w:t>и инфаркта миокарда без подъема сегмента ST</w:t>
      </w:r>
      <w:r w:rsidRPr="004E51D1">
        <w:rPr>
          <w:sz w:val="28"/>
          <w:szCs w:val="28"/>
        </w:rPr>
        <w:t xml:space="preserve"> рекомендуемая доза составляет 100 МЕ/кг (1 мг/кг) </w:t>
      </w:r>
      <w:proofErr w:type="spellStart"/>
      <w:r w:rsidRPr="004E51D1">
        <w:rPr>
          <w:sz w:val="28"/>
          <w:szCs w:val="28"/>
        </w:rPr>
        <w:t>эноксапарина</w:t>
      </w:r>
      <w:proofErr w:type="spellEnd"/>
      <w:r w:rsidRPr="004E51D1">
        <w:rPr>
          <w:sz w:val="28"/>
          <w:szCs w:val="28"/>
        </w:rPr>
        <w:t xml:space="preserve">, которая вводится подкожно два раза в сутки с 12-ти часовым интервалом в комбинации с </w:t>
      </w:r>
      <w:proofErr w:type="spellStart"/>
      <w:r w:rsidRPr="004E51D1">
        <w:rPr>
          <w:sz w:val="28"/>
          <w:szCs w:val="28"/>
        </w:rPr>
        <w:t>антитромбоцитарной</w:t>
      </w:r>
      <w:proofErr w:type="spellEnd"/>
      <w:r w:rsidRPr="004E51D1">
        <w:rPr>
          <w:sz w:val="28"/>
          <w:szCs w:val="28"/>
        </w:rPr>
        <w:t xml:space="preserve"> терапией.</w:t>
      </w:r>
    </w:p>
    <w:p w14:paraId="6E1674F9" w14:textId="77777777" w:rsidR="003F6F17" w:rsidRPr="004E51D1" w:rsidRDefault="003F6F17" w:rsidP="003F6F17">
      <w:pPr>
        <w:jc w:val="both"/>
        <w:rPr>
          <w:sz w:val="28"/>
          <w:szCs w:val="28"/>
        </w:rPr>
      </w:pPr>
      <w:r w:rsidRPr="004E51D1">
        <w:rPr>
          <w:sz w:val="28"/>
          <w:szCs w:val="28"/>
        </w:rPr>
        <w:t xml:space="preserve">Лечение следует поддерживать в течение минимум 2 суток и продолжать до клинической стабилизации. Рекомендуемая продолжительность терапии от 2 до 8 дней. </w:t>
      </w:r>
    </w:p>
    <w:p w14:paraId="6E925FC0" w14:textId="77777777" w:rsidR="003F6F17" w:rsidRPr="004E51D1" w:rsidRDefault="003F6F17" w:rsidP="003F6F17">
      <w:pPr>
        <w:jc w:val="both"/>
        <w:rPr>
          <w:sz w:val="28"/>
          <w:szCs w:val="28"/>
        </w:rPr>
      </w:pPr>
      <w:r w:rsidRPr="004E51D1">
        <w:rPr>
          <w:sz w:val="28"/>
          <w:szCs w:val="28"/>
        </w:rPr>
        <w:t>Всем пациентам без противопоказаний рекомендуется начать лечение ацетилсалициловой кислотой в начальной пероральной насыщающей дозе 150-300 мг (у пациентов, ранее не получавших ацетилсалициловую кислоту) и поддерживающей дозе 75-325 мг в день долгосрочно, независимо от стратегии лечения.</w:t>
      </w:r>
    </w:p>
    <w:p w14:paraId="00704D27" w14:textId="77777777" w:rsidR="003F6F17" w:rsidRPr="004E51D1" w:rsidRDefault="003F6F17" w:rsidP="003F6F17">
      <w:pPr>
        <w:jc w:val="both"/>
        <w:rPr>
          <w:sz w:val="28"/>
          <w:szCs w:val="28"/>
        </w:rPr>
      </w:pPr>
      <w:r w:rsidRPr="004E51D1">
        <w:rPr>
          <w:sz w:val="28"/>
          <w:szCs w:val="28"/>
        </w:rPr>
        <w:t>• Дозировка для пациентов в возрасте ≥ 75 лет указана в пункте «Пациенты пожилого возраста».</w:t>
      </w:r>
    </w:p>
    <w:p w14:paraId="6F4C8325" w14:textId="77777777" w:rsidR="003F6F17" w:rsidRPr="004E51D1" w:rsidRDefault="003F6F17" w:rsidP="003F6F17">
      <w:pPr>
        <w:jc w:val="both"/>
        <w:rPr>
          <w:sz w:val="28"/>
          <w:szCs w:val="28"/>
        </w:rPr>
      </w:pPr>
      <w:r w:rsidRPr="004E51D1">
        <w:rPr>
          <w:sz w:val="28"/>
          <w:szCs w:val="28"/>
        </w:rPr>
        <w:t>• Для пациентов, которым проводится ЧКВ (</w:t>
      </w:r>
      <w:proofErr w:type="spellStart"/>
      <w:r w:rsidRPr="004E51D1">
        <w:rPr>
          <w:sz w:val="28"/>
          <w:szCs w:val="28"/>
        </w:rPr>
        <w:t>Чрескожное</w:t>
      </w:r>
      <w:proofErr w:type="spellEnd"/>
      <w:r w:rsidRPr="004E51D1">
        <w:rPr>
          <w:sz w:val="28"/>
          <w:szCs w:val="28"/>
        </w:rPr>
        <w:t xml:space="preserve"> коронарное вмешательство), если последняя доза </w:t>
      </w:r>
      <w:proofErr w:type="spellStart"/>
      <w:r w:rsidRPr="004E51D1">
        <w:rPr>
          <w:sz w:val="28"/>
          <w:szCs w:val="28"/>
        </w:rPr>
        <w:t>эноксапарина</w:t>
      </w:r>
      <w:proofErr w:type="spellEnd"/>
      <w:r w:rsidRPr="004E51D1">
        <w:rPr>
          <w:sz w:val="28"/>
          <w:szCs w:val="28"/>
        </w:rPr>
        <w:t xml:space="preserve"> натрия подкожно была введена менее чем за 8 часов до надувания баллона, дополнительная дозировка не требуется. Если последняя доза подкожного введения была введена более чем за 8 часов до надувания баллона, следует ввести внутривенный болюс 30 МЕ/кг (0,3 мг/кг) </w:t>
      </w:r>
      <w:proofErr w:type="spellStart"/>
      <w:r w:rsidRPr="004E51D1">
        <w:rPr>
          <w:sz w:val="28"/>
          <w:szCs w:val="28"/>
        </w:rPr>
        <w:t>эноксапарина</w:t>
      </w:r>
      <w:proofErr w:type="spellEnd"/>
      <w:r w:rsidRPr="004E51D1">
        <w:rPr>
          <w:sz w:val="28"/>
          <w:szCs w:val="28"/>
        </w:rPr>
        <w:t xml:space="preserve"> натрия.</w:t>
      </w:r>
    </w:p>
    <w:p w14:paraId="65500233" w14:textId="77777777" w:rsidR="003F6F17" w:rsidRPr="004E51D1" w:rsidRDefault="003F6F17" w:rsidP="003F6F17">
      <w:pPr>
        <w:jc w:val="both"/>
        <w:rPr>
          <w:i/>
          <w:sz w:val="28"/>
          <w:szCs w:val="28"/>
        </w:rPr>
      </w:pPr>
      <w:r w:rsidRPr="004E51D1">
        <w:rPr>
          <w:i/>
          <w:sz w:val="28"/>
          <w:szCs w:val="28"/>
        </w:rPr>
        <w:t xml:space="preserve">Применение в педиатрии </w:t>
      </w:r>
    </w:p>
    <w:p w14:paraId="49714926" w14:textId="77777777" w:rsidR="003F6F17" w:rsidRPr="004E51D1" w:rsidRDefault="003F6F17" w:rsidP="003F6F17">
      <w:pPr>
        <w:jc w:val="both"/>
        <w:rPr>
          <w:sz w:val="28"/>
          <w:szCs w:val="28"/>
        </w:rPr>
      </w:pPr>
      <w:r w:rsidRPr="004E51D1">
        <w:rPr>
          <w:sz w:val="28"/>
          <w:szCs w:val="28"/>
        </w:rPr>
        <w:t xml:space="preserve">Безопасность и эффективность </w:t>
      </w:r>
      <w:proofErr w:type="spellStart"/>
      <w:r w:rsidRPr="004E51D1">
        <w:rPr>
          <w:sz w:val="28"/>
          <w:szCs w:val="28"/>
        </w:rPr>
        <w:t>эноксапарина</w:t>
      </w:r>
      <w:proofErr w:type="spellEnd"/>
      <w:r w:rsidRPr="004E51D1">
        <w:rPr>
          <w:sz w:val="28"/>
          <w:szCs w:val="28"/>
        </w:rPr>
        <w:t xml:space="preserve"> натрия у детей не установлена.</w:t>
      </w:r>
    </w:p>
    <w:p w14:paraId="1A1022DB" w14:textId="77777777" w:rsidR="003F6F17" w:rsidRPr="004E51D1" w:rsidRDefault="003F6F17" w:rsidP="003F6F17">
      <w:pPr>
        <w:jc w:val="both"/>
        <w:rPr>
          <w:i/>
          <w:sz w:val="28"/>
          <w:szCs w:val="28"/>
        </w:rPr>
      </w:pPr>
      <w:r w:rsidRPr="004E51D1">
        <w:rPr>
          <w:i/>
          <w:sz w:val="28"/>
          <w:szCs w:val="28"/>
        </w:rPr>
        <w:t xml:space="preserve">Пациентам пожилого возраста </w:t>
      </w:r>
    </w:p>
    <w:p w14:paraId="7815DC2F" w14:textId="77777777" w:rsidR="003F6F17" w:rsidRPr="004E51D1" w:rsidRDefault="003F6F17" w:rsidP="003F6F17">
      <w:pPr>
        <w:jc w:val="both"/>
        <w:rPr>
          <w:sz w:val="28"/>
          <w:szCs w:val="28"/>
        </w:rPr>
      </w:pPr>
      <w:r w:rsidRPr="004E51D1">
        <w:rPr>
          <w:sz w:val="28"/>
          <w:szCs w:val="28"/>
        </w:rPr>
        <w:lastRenderedPageBreak/>
        <w:t xml:space="preserve">По всем показаниям, кроме инфаркта миокарда с подъемом сегмента </w:t>
      </w:r>
      <w:r w:rsidRPr="004E51D1">
        <w:rPr>
          <w:sz w:val="28"/>
          <w:szCs w:val="28"/>
          <w:lang w:val="en-US"/>
        </w:rPr>
        <w:t>ST</w:t>
      </w:r>
      <w:r w:rsidRPr="004E51D1">
        <w:rPr>
          <w:sz w:val="28"/>
          <w:szCs w:val="28"/>
        </w:rPr>
        <w:t>, нет необходимости в уменьшении дозы у пациентов пожилого возраста, если функция почек не нарушена.</w:t>
      </w:r>
    </w:p>
    <w:p w14:paraId="79ACF2DA" w14:textId="77777777" w:rsidR="003F6F17" w:rsidRPr="004E51D1" w:rsidRDefault="003F6F17" w:rsidP="003F6F17">
      <w:pPr>
        <w:jc w:val="both"/>
        <w:rPr>
          <w:sz w:val="28"/>
          <w:szCs w:val="28"/>
        </w:rPr>
      </w:pPr>
      <w:r w:rsidRPr="004E51D1">
        <w:rPr>
          <w:sz w:val="28"/>
          <w:szCs w:val="28"/>
        </w:rPr>
        <w:t xml:space="preserve">Для лечения острого инфаркта миокарда с подъемом сегмента </w:t>
      </w:r>
      <w:r w:rsidRPr="004E51D1">
        <w:rPr>
          <w:sz w:val="28"/>
          <w:szCs w:val="28"/>
          <w:lang w:val="en-US"/>
        </w:rPr>
        <w:t>ST</w:t>
      </w:r>
      <w:r w:rsidRPr="004E51D1">
        <w:rPr>
          <w:sz w:val="28"/>
          <w:szCs w:val="28"/>
        </w:rPr>
        <w:t xml:space="preserve"> у пожилых пациентов в возрасте ≥ 75 лет начальный внутривенный болюс не должен использоваться. Начальная доза должна составлять 75 МЕ/кг (0,75 мг/кг), вводимая подкожно каждые 12 часов (максимум 7500 МЕ (75 мг) для каждой из первых двух доз подкожно, затем 75 МЕ/кг (0,75 мг/кг) подкожно для оставшихся доз). </w:t>
      </w:r>
    </w:p>
    <w:p w14:paraId="7AED9817" w14:textId="77777777" w:rsidR="003F6F17" w:rsidRPr="004E51D1" w:rsidRDefault="003F6F17" w:rsidP="003F6F17">
      <w:pPr>
        <w:jc w:val="both"/>
        <w:rPr>
          <w:i/>
          <w:sz w:val="28"/>
          <w:szCs w:val="28"/>
        </w:rPr>
      </w:pPr>
      <w:r w:rsidRPr="004E51D1">
        <w:rPr>
          <w:i/>
          <w:sz w:val="28"/>
          <w:szCs w:val="28"/>
        </w:rPr>
        <w:t>Нарушение функции печени</w:t>
      </w:r>
    </w:p>
    <w:p w14:paraId="07F0B726" w14:textId="77777777" w:rsidR="003F6F17" w:rsidRPr="004E51D1" w:rsidRDefault="003F6F17" w:rsidP="003F6F17">
      <w:pPr>
        <w:jc w:val="both"/>
        <w:rPr>
          <w:sz w:val="28"/>
          <w:szCs w:val="28"/>
        </w:rPr>
      </w:pPr>
      <w:r w:rsidRPr="004E51D1">
        <w:rPr>
          <w:sz w:val="28"/>
          <w:szCs w:val="28"/>
        </w:rPr>
        <w:t>Для пациентов с нарушением функции печени данные ограничены, таким пациентам препарат следует назначать с осторожностью</w:t>
      </w:r>
      <w:r w:rsidR="00E33811" w:rsidRPr="004E51D1">
        <w:rPr>
          <w:sz w:val="28"/>
          <w:szCs w:val="28"/>
        </w:rPr>
        <w:t>.</w:t>
      </w:r>
    </w:p>
    <w:p w14:paraId="38AEEBF8" w14:textId="77777777" w:rsidR="003F6F17" w:rsidRPr="004E51D1" w:rsidRDefault="003F6F17" w:rsidP="003F6F17">
      <w:pPr>
        <w:jc w:val="both"/>
        <w:rPr>
          <w:i/>
          <w:sz w:val="28"/>
          <w:szCs w:val="28"/>
        </w:rPr>
      </w:pPr>
      <w:r w:rsidRPr="004E51D1">
        <w:rPr>
          <w:i/>
          <w:sz w:val="28"/>
          <w:szCs w:val="28"/>
        </w:rPr>
        <w:t xml:space="preserve">Нарушение функции почек </w:t>
      </w:r>
    </w:p>
    <w:p w14:paraId="299F67A8" w14:textId="77777777" w:rsidR="003F6F17" w:rsidRPr="004E51D1" w:rsidRDefault="003F6F17" w:rsidP="003F6F17">
      <w:pPr>
        <w:jc w:val="both"/>
        <w:rPr>
          <w:sz w:val="28"/>
          <w:szCs w:val="28"/>
        </w:rPr>
      </w:pPr>
      <w:proofErr w:type="spellStart"/>
      <w:r w:rsidRPr="004E51D1">
        <w:rPr>
          <w:sz w:val="28"/>
          <w:szCs w:val="28"/>
        </w:rPr>
        <w:t>Эноксапарин</w:t>
      </w:r>
      <w:proofErr w:type="spellEnd"/>
      <w:r w:rsidRPr="004E51D1">
        <w:rPr>
          <w:sz w:val="28"/>
          <w:szCs w:val="28"/>
        </w:rPr>
        <w:t xml:space="preserve"> натрия не рекомендуется пациентам с терминальной стадией болезни почек (клиренс креатинина &lt;15 мл/мин) в связи с отсутствием данных в данной популяции, кроме данных по профилактике тромбообразования при проведении гемодиализа.</w:t>
      </w:r>
    </w:p>
    <w:p w14:paraId="63585459" w14:textId="77777777" w:rsidR="003F6F17" w:rsidRPr="004E51D1" w:rsidRDefault="003F6F17" w:rsidP="003F6F17">
      <w:pPr>
        <w:jc w:val="both"/>
        <w:rPr>
          <w:sz w:val="28"/>
          <w:szCs w:val="28"/>
        </w:rPr>
      </w:pPr>
      <w:r w:rsidRPr="004E51D1">
        <w:rPr>
          <w:sz w:val="28"/>
          <w:szCs w:val="28"/>
        </w:rPr>
        <w:t>Таблица дозирования препарата для пациентов с тяжелым нарушением функции почек (клиренс креатинина 15-30 мл/мин):</w:t>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395"/>
        <w:gridCol w:w="4677"/>
      </w:tblGrid>
      <w:tr w:rsidR="003F6F17" w:rsidRPr="004E51D1" w14:paraId="1B373D11" w14:textId="77777777" w:rsidTr="00425BD0">
        <w:trPr>
          <w:trHeight w:val="423"/>
        </w:trPr>
        <w:tc>
          <w:tcPr>
            <w:tcW w:w="4395"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4EA8BCA3" w14:textId="77777777" w:rsidR="003F6F17" w:rsidRPr="004E51D1" w:rsidRDefault="003F6F17" w:rsidP="00425BD0">
            <w:pPr>
              <w:jc w:val="both"/>
              <w:rPr>
                <w:b/>
                <w:sz w:val="28"/>
                <w:szCs w:val="28"/>
              </w:rPr>
            </w:pPr>
            <w:r w:rsidRPr="004E51D1">
              <w:rPr>
                <w:b/>
                <w:sz w:val="28"/>
                <w:szCs w:val="28"/>
              </w:rPr>
              <w:t xml:space="preserve">Показания </w:t>
            </w:r>
          </w:p>
        </w:tc>
        <w:tc>
          <w:tcPr>
            <w:tcW w:w="4677" w:type="dxa"/>
            <w:tcBorders>
              <w:top w:val="single" w:sz="8" w:space="0" w:color="auto"/>
              <w:left w:val="single" w:sz="8" w:space="0" w:color="auto"/>
              <w:bottom w:val="single" w:sz="8" w:space="0" w:color="auto"/>
              <w:right w:val="single" w:sz="8" w:space="0" w:color="auto"/>
            </w:tcBorders>
            <w:noWrap/>
            <w:tcMar>
              <w:top w:w="10" w:type="dxa"/>
              <w:left w:w="10" w:type="dxa"/>
              <w:bottom w:w="0" w:type="dxa"/>
              <w:right w:w="10" w:type="dxa"/>
            </w:tcMar>
            <w:vAlign w:val="center"/>
          </w:tcPr>
          <w:p w14:paraId="3A599F0B" w14:textId="77777777" w:rsidR="003F6F17" w:rsidRPr="004E51D1" w:rsidRDefault="003F6F17" w:rsidP="00425BD0">
            <w:pPr>
              <w:jc w:val="both"/>
              <w:rPr>
                <w:b/>
                <w:sz w:val="28"/>
                <w:szCs w:val="28"/>
              </w:rPr>
            </w:pPr>
            <w:r w:rsidRPr="004E51D1">
              <w:rPr>
                <w:b/>
                <w:sz w:val="28"/>
                <w:szCs w:val="28"/>
              </w:rPr>
              <w:t>Режим дозирования</w:t>
            </w:r>
          </w:p>
        </w:tc>
      </w:tr>
      <w:tr w:rsidR="003F6F17" w:rsidRPr="004E51D1" w14:paraId="2AE69A2B"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312E8760" w14:textId="77777777" w:rsidR="003F6F17" w:rsidRPr="004E51D1" w:rsidRDefault="003F6F17" w:rsidP="00425BD0">
            <w:pPr>
              <w:jc w:val="both"/>
              <w:rPr>
                <w:sz w:val="28"/>
                <w:szCs w:val="28"/>
              </w:rPr>
            </w:pPr>
            <w:r w:rsidRPr="004E51D1">
              <w:rPr>
                <w:sz w:val="28"/>
                <w:szCs w:val="28"/>
              </w:rPr>
              <w:t xml:space="preserve">Профилактика венозной тромбоэмболической болезни </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10C2B51" w14:textId="77777777" w:rsidR="003F6F17" w:rsidRPr="004E51D1" w:rsidRDefault="003F6F17" w:rsidP="00425BD0">
            <w:pPr>
              <w:jc w:val="both"/>
              <w:rPr>
                <w:sz w:val="28"/>
                <w:szCs w:val="28"/>
              </w:rPr>
            </w:pPr>
            <w:r w:rsidRPr="004E51D1">
              <w:rPr>
                <w:sz w:val="28"/>
                <w:szCs w:val="28"/>
              </w:rPr>
              <w:t>2 000 МЕ (20 мг) подкожно один раз в сутки</w:t>
            </w:r>
          </w:p>
        </w:tc>
      </w:tr>
      <w:tr w:rsidR="003F6F17" w:rsidRPr="004E51D1" w14:paraId="7676A353"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6BB531FE" w14:textId="77777777" w:rsidR="003F6F17" w:rsidRPr="004E51D1" w:rsidRDefault="003F6F17" w:rsidP="00425BD0">
            <w:pPr>
              <w:jc w:val="both"/>
              <w:rPr>
                <w:sz w:val="28"/>
                <w:szCs w:val="28"/>
              </w:rPr>
            </w:pPr>
            <w:r w:rsidRPr="004E51D1">
              <w:rPr>
                <w:sz w:val="28"/>
                <w:szCs w:val="28"/>
              </w:rPr>
              <w:t>Лечение тромбоза глубоких вен и тромбоэмболии лёгочной артерии</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14BDD54"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5FFDE8A7"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40648FC1" w14:textId="77777777" w:rsidR="000F1804" w:rsidRPr="004E51D1" w:rsidRDefault="000F1804" w:rsidP="000F1804">
            <w:pPr>
              <w:jc w:val="both"/>
              <w:rPr>
                <w:sz w:val="28"/>
                <w:szCs w:val="28"/>
              </w:rPr>
            </w:pPr>
            <w:r w:rsidRPr="004E51D1">
              <w:rPr>
                <w:sz w:val="28"/>
                <w:szCs w:val="28"/>
              </w:rPr>
              <w:t>Длительное лечение тромбоза глубоких вен (ТГВ) и тромбоэмболии легочной артерии (ТЭЛА) и профилактика их рецидивов у пациентов с активным</w:t>
            </w:r>
          </w:p>
          <w:p w14:paraId="6CEBA877" w14:textId="77777777" w:rsidR="003F6F17" w:rsidRPr="004E51D1" w:rsidRDefault="000F1804" w:rsidP="000F1804">
            <w:pPr>
              <w:jc w:val="both"/>
              <w:rPr>
                <w:sz w:val="28"/>
                <w:szCs w:val="28"/>
              </w:rPr>
            </w:pPr>
            <w:r w:rsidRPr="004E51D1">
              <w:rPr>
                <w:sz w:val="28"/>
                <w:szCs w:val="28"/>
              </w:rPr>
              <w:t>раком</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7AAD6C4"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47F87FE2"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AD34B80" w14:textId="77777777" w:rsidR="003F6F17" w:rsidRPr="004E51D1" w:rsidRDefault="003F6F17" w:rsidP="00425BD0">
            <w:pPr>
              <w:jc w:val="both"/>
              <w:rPr>
                <w:sz w:val="28"/>
                <w:szCs w:val="28"/>
              </w:rPr>
            </w:pPr>
            <w:r w:rsidRPr="004E51D1">
              <w:rPr>
                <w:sz w:val="28"/>
                <w:szCs w:val="28"/>
              </w:rPr>
              <w:t>Лечение нестабильной стенокардии и инфаркта миокарда без подъёма сегмента ST</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07043882" w14:textId="77777777" w:rsidR="003F6F17" w:rsidRPr="004E51D1" w:rsidRDefault="003F6F17" w:rsidP="00425BD0">
            <w:pPr>
              <w:jc w:val="both"/>
              <w:rPr>
                <w:sz w:val="28"/>
                <w:szCs w:val="28"/>
              </w:rPr>
            </w:pPr>
            <w:r w:rsidRPr="004E51D1">
              <w:rPr>
                <w:sz w:val="28"/>
                <w:szCs w:val="28"/>
              </w:rPr>
              <w:t>100 МЕ/кг (1 мг/кг) массы тела подкожно один раз в сутки</w:t>
            </w:r>
          </w:p>
        </w:tc>
      </w:tr>
      <w:tr w:rsidR="003F6F17" w:rsidRPr="004E51D1" w14:paraId="317FFAAA" w14:textId="77777777" w:rsidTr="00425BD0">
        <w:trPr>
          <w:trHeight w:val="510"/>
        </w:trPr>
        <w:tc>
          <w:tcPr>
            <w:tcW w:w="4395"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vAlign w:val="center"/>
          </w:tcPr>
          <w:p w14:paraId="234EE4D5" w14:textId="77777777" w:rsidR="003F6F17" w:rsidRPr="004E51D1" w:rsidRDefault="003F6F17" w:rsidP="00425BD0">
            <w:pPr>
              <w:jc w:val="both"/>
              <w:rPr>
                <w:sz w:val="28"/>
                <w:szCs w:val="28"/>
              </w:rPr>
            </w:pPr>
            <w:r w:rsidRPr="004E51D1">
              <w:rPr>
                <w:sz w:val="28"/>
                <w:szCs w:val="28"/>
              </w:rPr>
              <w:t>Лечение острого инфаркта миокарда с подъемом сегмента ST (пациенты старше 75 лет)</w:t>
            </w:r>
          </w:p>
        </w:tc>
        <w:tc>
          <w:tcPr>
            <w:tcW w:w="4677" w:type="dxa"/>
            <w:tcBorders>
              <w:top w:val="single" w:sz="8" w:space="0" w:color="auto"/>
              <w:left w:val="single" w:sz="8" w:space="0" w:color="auto"/>
              <w:bottom w:val="single" w:sz="8" w:space="0" w:color="auto"/>
              <w:right w:val="single" w:sz="8" w:space="0" w:color="auto"/>
            </w:tcBorders>
            <w:tcMar>
              <w:top w:w="10" w:type="dxa"/>
              <w:left w:w="10" w:type="dxa"/>
              <w:bottom w:w="0" w:type="dxa"/>
              <w:right w:w="10" w:type="dxa"/>
            </w:tcMar>
          </w:tcPr>
          <w:p w14:paraId="24AD9027" w14:textId="77777777" w:rsidR="003F6F17" w:rsidRPr="004E51D1" w:rsidRDefault="003F6F17" w:rsidP="00425BD0">
            <w:pPr>
              <w:jc w:val="both"/>
              <w:rPr>
                <w:sz w:val="28"/>
                <w:szCs w:val="28"/>
              </w:rPr>
            </w:pPr>
            <w:r w:rsidRPr="004E51D1">
              <w:rPr>
                <w:sz w:val="28"/>
                <w:szCs w:val="28"/>
              </w:rPr>
              <w:t>Начальная доза не вводится внутривенно, 100 МЕ/кг (1 мг/кг) массы тела подкожно, затем 100 МЕ/кг (1 мг/кг) массы тела подкожно каждые 24 часа.</w:t>
            </w:r>
          </w:p>
        </w:tc>
      </w:tr>
    </w:tbl>
    <w:p w14:paraId="15C02513" w14:textId="77777777" w:rsidR="003F6F17" w:rsidRPr="004E51D1" w:rsidRDefault="003F6F17" w:rsidP="003F6F17">
      <w:pPr>
        <w:jc w:val="both"/>
        <w:rPr>
          <w:sz w:val="28"/>
          <w:szCs w:val="28"/>
        </w:rPr>
      </w:pPr>
      <w:r w:rsidRPr="004E51D1">
        <w:rPr>
          <w:sz w:val="28"/>
          <w:szCs w:val="28"/>
        </w:rPr>
        <w:t xml:space="preserve">Рекомендуемый режим дозирования не относится к случаям гемодиализа. </w:t>
      </w:r>
    </w:p>
    <w:p w14:paraId="075B112A" w14:textId="77777777" w:rsidR="003F6F17" w:rsidRPr="004E51D1" w:rsidRDefault="003F6F17" w:rsidP="003F6F17">
      <w:pPr>
        <w:jc w:val="both"/>
        <w:rPr>
          <w:i/>
          <w:sz w:val="28"/>
          <w:szCs w:val="28"/>
        </w:rPr>
      </w:pPr>
      <w:r w:rsidRPr="004E51D1">
        <w:rPr>
          <w:i/>
          <w:sz w:val="28"/>
          <w:szCs w:val="28"/>
        </w:rPr>
        <w:t>Нарушение функции почек умеренной и легкой степени</w:t>
      </w:r>
    </w:p>
    <w:p w14:paraId="4BAE21C5" w14:textId="77777777" w:rsidR="003F6F17" w:rsidRPr="004E51D1" w:rsidRDefault="003F6F17" w:rsidP="000D73E2">
      <w:pPr>
        <w:jc w:val="both"/>
        <w:rPr>
          <w:i/>
          <w:sz w:val="28"/>
          <w:szCs w:val="28"/>
        </w:rPr>
      </w:pPr>
      <w:r w:rsidRPr="004E51D1">
        <w:rPr>
          <w:sz w:val="28"/>
          <w:szCs w:val="28"/>
        </w:rPr>
        <w:t>Несмотря на то, что корректировки дозы не требуется пациентам с нарушением функции почек умеренной (клиренс креатинина 30-</w:t>
      </w:r>
      <w:r w:rsidRPr="004E51D1">
        <w:rPr>
          <w:sz w:val="28"/>
          <w:szCs w:val="28"/>
        </w:rPr>
        <w:lastRenderedPageBreak/>
        <w:t>50 мл/мин) и легкой степени (клиренс креатинина 50-80 мл/мин), рекомендовано тщательное клиническое наблюдение.</w:t>
      </w:r>
    </w:p>
    <w:p w14:paraId="72524E2B" w14:textId="77777777" w:rsidR="000D73E2" w:rsidRPr="004E51D1" w:rsidRDefault="000D73E2" w:rsidP="000D73E2">
      <w:pPr>
        <w:jc w:val="both"/>
        <w:rPr>
          <w:rFonts w:eastAsiaTheme="minorHAnsi"/>
          <w:b/>
          <w:sz w:val="28"/>
          <w:szCs w:val="28"/>
          <w:lang w:eastAsia="en-US"/>
        </w:rPr>
      </w:pPr>
      <w:r w:rsidRPr="004E51D1">
        <w:rPr>
          <w:rFonts w:eastAsiaTheme="minorHAnsi"/>
          <w:b/>
          <w:sz w:val="28"/>
          <w:szCs w:val="28"/>
          <w:lang w:eastAsia="en-US"/>
        </w:rPr>
        <w:t>Способ применения</w:t>
      </w:r>
    </w:p>
    <w:p w14:paraId="5A8DAC06" w14:textId="77777777" w:rsidR="003F6F17" w:rsidRPr="004E51D1" w:rsidRDefault="003F6F17" w:rsidP="003F6F17">
      <w:pPr>
        <w:tabs>
          <w:tab w:val="left" w:pos="567"/>
        </w:tabs>
        <w:jc w:val="both"/>
        <w:rPr>
          <w:rFonts w:eastAsia="Calibri"/>
          <w:sz w:val="28"/>
          <w:szCs w:val="28"/>
          <w:lang w:eastAsia="hu-HU"/>
        </w:rPr>
      </w:pP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запрещается применять внутримышечно.</w:t>
      </w:r>
    </w:p>
    <w:p w14:paraId="080D4B4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Для профилактики венозной тромбоэмболии после хирургической операции, лечения ТГВ и ТЭЛА, нестабильной стенокардии и инфаркта миокарда без подъёма сегмента ST, острого инфаркта миокарда с подъемом сегмента </w:t>
      </w:r>
      <w:r w:rsidRPr="004E51D1">
        <w:rPr>
          <w:rFonts w:eastAsia="Calibri"/>
          <w:sz w:val="28"/>
          <w:szCs w:val="28"/>
          <w:lang w:val="en-US" w:eastAsia="hu-HU"/>
        </w:rPr>
        <w:t>ST</w:t>
      </w:r>
      <w:r w:rsidRPr="004E51D1">
        <w:rPr>
          <w:rFonts w:eastAsia="Calibri"/>
          <w:sz w:val="28"/>
          <w:szCs w:val="28"/>
          <w:lang w:eastAsia="hu-HU"/>
        </w:rPr>
        <w:t xml:space="preserve"> </w:t>
      </w: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вводится подкожно.</w:t>
      </w:r>
    </w:p>
    <w:p w14:paraId="010EC31C" w14:textId="77777777" w:rsidR="003F6F17" w:rsidRPr="004E51D1" w:rsidRDefault="003F6F17" w:rsidP="003F6F17">
      <w:pPr>
        <w:tabs>
          <w:tab w:val="left" w:pos="567"/>
        </w:tabs>
        <w:jc w:val="both"/>
        <w:rPr>
          <w:rFonts w:eastAsia="Calibri"/>
          <w:bCs/>
          <w:iCs/>
          <w:sz w:val="28"/>
          <w:szCs w:val="28"/>
          <w:lang w:eastAsia="hu-HU"/>
        </w:rPr>
      </w:pPr>
      <w:r w:rsidRPr="004E51D1">
        <w:rPr>
          <w:rFonts w:eastAsia="Calibri"/>
          <w:sz w:val="28"/>
          <w:szCs w:val="28"/>
          <w:lang w:eastAsia="hu-HU"/>
        </w:rPr>
        <w:t xml:space="preserve">Для предотвращения тромбообразования в системе экстракорпорального кровообращения при проведении гемодиализа препарат вводится через артериальную магистраль диализного контура. </w:t>
      </w:r>
    </w:p>
    <w:p w14:paraId="2E5FBF7F" w14:textId="77777777" w:rsidR="003F6F17" w:rsidRPr="004E51D1" w:rsidRDefault="003F6F17" w:rsidP="003F6F17">
      <w:pPr>
        <w:tabs>
          <w:tab w:val="left" w:pos="567"/>
        </w:tabs>
        <w:jc w:val="both"/>
        <w:rPr>
          <w:rFonts w:eastAsia="Calibri"/>
          <w:i/>
          <w:sz w:val="28"/>
          <w:szCs w:val="28"/>
          <w:lang w:eastAsia="hu-HU"/>
        </w:rPr>
      </w:pPr>
      <w:r w:rsidRPr="004E51D1">
        <w:rPr>
          <w:rFonts w:eastAsia="Calibri"/>
          <w:bCs/>
          <w:iCs/>
          <w:sz w:val="28"/>
          <w:szCs w:val="28"/>
          <w:lang w:eastAsia="hu-HU"/>
        </w:rPr>
        <w:t>П</w:t>
      </w:r>
      <w:r w:rsidRPr="004E51D1">
        <w:rPr>
          <w:rFonts w:eastAsia="Calibri"/>
          <w:sz w:val="28"/>
          <w:szCs w:val="28"/>
          <w:lang w:eastAsia="hu-HU"/>
        </w:rPr>
        <w:t>редварительно наполненный одноразовый шприц готов для незамедлительного использования.</w:t>
      </w:r>
      <w:r w:rsidRPr="004E51D1">
        <w:rPr>
          <w:rFonts w:eastAsia="Calibri"/>
          <w:i/>
          <w:sz w:val="28"/>
          <w:szCs w:val="28"/>
          <w:lang w:eastAsia="hu-HU"/>
        </w:rPr>
        <w:t xml:space="preserve"> </w:t>
      </w:r>
    </w:p>
    <w:p w14:paraId="2A423911" w14:textId="77777777" w:rsidR="003F6F17" w:rsidRPr="004E51D1" w:rsidRDefault="003F6F17" w:rsidP="003F6F17">
      <w:pPr>
        <w:tabs>
          <w:tab w:val="left" w:pos="567"/>
        </w:tabs>
        <w:jc w:val="both"/>
        <w:rPr>
          <w:rFonts w:eastAsia="Calibri"/>
          <w:i/>
          <w:sz w:val="28"/>
          <w:szCs w:val="28"/>
          <w:lang w:eastAsia="hu-HU"/>
        </w:rPr>
      </w:pPr>
      <w:r w:rsidRPr="004E51D1">
        <w:rPr>
          <w:rFonts w:eastAsia="Calibri"/>
          <w:i/>
          <w:sz w:val="28"/>
          <w:szCs w:val="28"/>
          <w:lang w:eastAsia="hu-HU"/>
        </w:rPr>
        <w:t>Подкожное введение:</w:t>
      </w:r>
    </w:p>
    <w:p w14:paraId="4993FC8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инъекцию препарата </w:t>
      </w:r>
      <w:proofErr w:type="spellStart"/>
      <w:r w:rsidRPr="004E51D1">
        <w:rPr>
          <w:rFonts w:eastAsia="Calibri"/>
          <w:sz w:val="28"/>
          <w:szCs w:val="28"/>
          <w:lang w:eastAsia="hu-HU"/>
        </w:rPr>
        <w:t>Катенокс</w:t>
      </w:r>
      <w:proofErr w:type="spellEnd"/>
      <w:r w:rsidRPr="004E51D1">
        <w:rPr>
          <w:rFonts w:eastAsia="Calibri"/>
          <w:sz w:val="28"/>
          <w:szCs w:val="28"/>
          <w:lang w:eastAsia="hu-HU"/>
        </w:rPr>
        <w:t xml:space="preserve"> желательно выполнять в положении больного лежа, глубоко подкожно.</w:t>
      </w:r>
    </w:p>
    <w:p w14:paraId="4D4CBEB2"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В случае использования предварительно наполненных шприцов не следует выпускать воздушный пузырь из шприца перед инъекцией во избежание потери препарата. Обратите внимание, что в некоторых случаях невозможно достичь точной дозы и в таком случае объем округляется до ближайшего деления. </w:t>
      </w:r>
    </w:p>
    <w:p w14:paraId="143C926D"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Инъекции вводят попеременно то в левую, то в правую переднебоковую или заднебоковую стенку живота. Всю длину иглы следует ввести перпендикулярно к складке кожи, зажатой между указательным и большим пальцами руки. В течение всей инъекции этот участок кожи должен быть зажат между пальцами. Не следует потирать место инъекции после введения.</w:t>
      </w:r>
    </w:p>
    <w:p w14:paraId="72CA1851"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Дополнительный болюс для ЧКВ, если последнее подкожное введение было проведено более чем за 8 часов до надувания баллона:</w:t>
      </w:r>
    </w:p>
    <w:p w14:paraId="4E13C885"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Пациентам, проходящим лечение с помощью ЧКВ, следует ввести дополнительный внутривенный болюс 30 МЕ/кг (0,3 мг/кг), если последнее подкожное введение было проведено более чем за 8 часов до надувания баллона.</w:t>
      </w:r>
    </w:p>
    <w:p w14:paraId="68008223"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Для обеспечения точности небольшого объема для инъекции рекомендуется развести препарат до 300 МЕ/мл (3 мг/мл).</w:t>
      </w:r>
    </w:p>
    <w:p w14:paraId="768D6129"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Для получения раствора 300 МЕ/мл (3 мг/мл) рекомендуется использовать предварительно заполненный шприц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на 4000 МЕ (40 мг) + 2000 МЕ (20 мг), чтобы в сумме получить 6000 МЕ (60 мг) и инфузионный пакет на 50 мл (т. е. с использованием либо физиологического раствора (0,9%), либо 5% декстрозы в воде) следующим образом:</w:t>
      </w:r>
    </w:p>
    <w:p w14:paraId="28D56A0A"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Отберите 30 мл из инфузионного мешка с помощью шприца и вылейте жидкость. Введите все содержимое предварительно заполненных шприцев 4000 МЕ (40 мг) + 2000 МЕ (20 мг)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оставшиеся 20 </w:t>
      </w:r>
      <w:r w:rsidRPr="004E51D1">
        <w:rPr>
          <w:rFonts w:eastAsia="Calibri"/>
          <w:sz w:val="28"/>
          <w:szCs w:val="28"/>
          <w:lang w:eastAsia="hu-HU"/>
        </w:rPr>
        <w:lastRenderedPageBreak/>
        <w:t>мл в мешке. Осторожно перемешайте содержимое мешка. Отберите необходимый объем разведенного раствора с помощью шприца для введения в капельницу.</w:t>
      </w:r>
    </w:p>
    <w:p w14:paraId="1E51DD1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После завершения разведения объем для инъекции можно рассчитать по следующей формуле [Объем разведенного раствора (мл) = Вес пациента (кг) x 0,1] или с помощью приведенной ниже таблицы. Рекомендуется готовить разведение непосредственно перед использованием.</w:t>
      </w:r>
    </w:p>
    <w:p w14:paraId="459CBFC9"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Объем для инъекции через капельницу после завершения разведения в концентрации 300 МЕ (3 мг)/мл.</w:t>
      </w:r>
    </w:p>
    <w:tbl>
      <w:tblPr>
        <w:tblStyle w:val="af"/>
        <w:tblW w:w="0" w:type="auto"/>
        <w:tblLook w:val="04A0" w:firstRow="1" w:lastRow="0" w:firstColumn="1" w:lastColumn="0" w:noHBand="0" w:noVBand="1"/>
      </w:tblPr>
      <w:tblGrid>
        <w:gridCol w:w="1384"/>
        <w:gridCol w:w="1701"/>
        <w:gridCol w:w="1701"/>
        <w:gridCol w:w="4501"/>
      </w:tblGrid>
      <w:tr w:rsidR="003F6F17" w:rsidRPr="004E51D1" w14:paraId="29C94A76" w14:textId="77777777" w:rsidTr="00425BD0">
        <w:tc>
          <w:tcPr>
            <w:tcW w:w="1384" w:type="dxa"/>
          </w:tcPr>
          <w:p w14:paraId="29764D79"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Масса</w:t>
            </w:r>
          </w:p>
        </w:tc>
        <w:tc>
          <w:tcPr>
            <w:tcW w:w="3402" w:type="dxa"/>
            <w:gridSpan w:val="2"/>
          </w:tcPr>
          <w:p w14:paraId="3A86F16D"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Требуемая доза</w:t>
            </w:r>
          </w:p>
          <w:p w14:paraId="65E8AD99"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30 МЕ/кг (0.3 мг/кг)</w:t>
            </w:r>
          </w:p>
        </w:tc>
        <w:tc>
          <w:tcPr>
            <w:tcW w:w="4501" w:type="dxa"/>
          </w:tcPr>
          <w:p w14:paraId="2A58BFF8" w14:textId="77777777" w:rsidR="003F6F17" w:rsidRPr="004E51D1" w:rsidRDefault="003F6F17" w:rsidP="003F6F17">
            <w:pPr>
              <w:tabs>
                <w:tab w:val="left" w:pos="567"/>
              </w:tabs>
              <w:spacing w:after="0" w:line="240" w:lineRule="auto"/>
              <w:contextualSpacing/>
              <w:jc w:val="both"/>
              <w:rPr>
                <w:rFonts w:ascii="Times New Roman" w:hAnsi="Times New Roman"/>
                <w:b/>
                <w:bCs/>
                <w:sz w:val="28"/>
                <w:szCs w:val="28"/>
                <w:lang w:eastAsia="hu-HU"/>
              </w:rPr>
            </w:pPr>
            <w:r w:rsidRPr="004E51D1">
              <w:rPr>
                <w:rFonts w:ascii="Times New Roman" w:hAnsi="Times New Roman"/>
                <w:b/>
                <w:bCs/>
                <w:sz w:val="28"/>
                <w:szCs w:val="28"/>
                <w:lang w:eastAsia="hu-HU"/>
              </w:rPr>
              <w:t>Объем для инъекции при разведении до конечной концентрации 300 МЕ (3 мг)/мл</w:t>
            </w:r>
          </w:p>
        </w:tc>
      </w:tr>
      <w:tr w:rsidR="003F6F17" w:rsidRPr="004E51D1" w14:paraId="220E73D2" w14:textId="77777777" w:rsidTr="00425BD0">
        <w:tc>
          <w:tcPr>
            <w:tcW w:w="1384" w:type="dxa"/>
          </w:tcPr>
          <w:p w14:paraId="2A3A61A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кг</w:t>
            </w:r>
          </w:p>
        </w:tc>
        <w:tc>
          <w:tcPr>
            <w:tcW w:w="1701" w:type="dxa"/>
          </w:tcPr>
          <w:p w14:paraId="1CC0A31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МЕ</w:t>
            </w:r>
          </w:p>
        </w:tc>
        <w:tc>
          <w:tcPr>
            <w:tcW w:w="1701" w:type="dxa"/>
          </w:tcPr>
          <w:p w14:paraId="253CE93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w:t>
            </w:r>
            <w:r w:rsidRPr="004E51D1">
              <w:rPr>
                <w:rFonts w:ascii="Times New Roman" w:hAnsi="Times New Roman"/>
                <w:sz w:val="28"/>
                <w:szCs w:val="28"/>
                <w:lang w:eastAsia="hu-HU"/>
              </w:rPr>
              <w:t>мг</w:t>
            </w:r>
            <w:r w:rsidRPr="004E51D1">
              <w:rPr>
                <w:rFonts w:ascii="Times New Roman" w:hAnsi="Times New Roman"/>
                <w:sz w:val="28"/>
                <w:szCs w:val="28"/>
                <w:lang w:val="en-US" w:eastAsia="hu-HU"/>
              </w:rPr>
              <w:t>]</w:t>
            </w:r>
          </w:p>
        </w:tc>
        <w:tc>
          <w:tcPr>
            <w:tcW w:w="4501" w:type="dxa"/>
          </w:tcPr>
          <w:p w14:paraId="2CCBD09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w:t>
            </w:r>
            <w:r w:rsidRPr="004E51D1">
              <w:rPr>
                <w:rFonts w:ascii="Times New Roman" w:hAnsi="Times New Roman"/>
                <w:sz w:val="28"/>
                <w:szCs w:val="28"/>
                <w:lang w:eastAsia="hu-HU"/>
              </w:rPr>
              <w:t>мл</w:t>
            </w:r>
            <w:r w:rsidRPr="004E51D1">
              <w:rPr>
                <w:rFonts w:ascii="Times New Roman" w:hAnsi="Times New Roman"/>
                <w:sz w:val="28"/>
                <w:szCs w:val="28"/>
                <w:lang w:val="en-US" w:eastAsia="hu-HU"/>
              </w:rPr>
              <w:t>]</w:t>
            </w:r>
          </w:p>
        </w:tc>
      </w:tr>
      <w:tr w:rsidR="003F6F17" w:rsidRPr="004E51D1" w14:paraId="73A34187" w14:textId="77777777" w:rsidTr="00425BD0">
        <w:tc>
          <w:tcPr>
            <w:tcW w:w="1384" w:type="dxa"/>
          </w:tcPr>
          <w:p w14:paraId="1F7E0AE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c>
          <w:tcPr>
            <w:tcW w:w="1701" w:type="dxa"/>
          </w:tcPr>
          <w:p w14:paraId="4174B13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1350</w:t>
            </w:r>
          </w:p>
        </w:tc>
        <w:tc>
          <w:tcPr>
            <w:tcW w:w="1701" w:type="dxa"/>
          </w:tcPr>
          <w:p w14:paraId="34C00D8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w:t>
            </w:r>
          </w:p>
        </w:tc>
        <w:tc>
          <w:tcPr>
            <w:tcW w:w="4501" w:type="dxa"/>
          </w:tcPr>
          <w:p w14:paraId="46D4FAB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r>
      <w:tr w:rsidR="003F6F17" w:rsidRPr="004E51D1" w14:paraId="16A56F8A" w14:textId="77777777" w:rsidTr="00425BD0">
        <w:tc>
          <w:tcPr>
            <w:tcW w:w="1384" w:type="dxa"/>
          </w:tcPr>
          <w:p w14:paraId="5915CC5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50</w:t>
            </w:r>
          </w:p>
        </w:tc>
        <w:tc>
          <w:tcPr>
            <w:tcW w:w="1701" w:type="dxa"/>
          </w:tcPr>
          <w:p w14:paraId="344CAF1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1500</w:t>
            </w:r>
          </w:p>
        </w:tc>
        <w:tc>
          <w:tcPr>
            <w:tcW w:w="1701" w:type="dxa"/>
          </w:tcPr>
          <w:p w14:paraId="7CE714B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w:t>
            </w:r>
          </w:p>
        </w:tc>
        <w:tc>
          <w:tcPr>
            <w:tcW w:w="4501" w:type="dxa"/>
          </w:tcPr>
          <w:p w14:paraId="4812DC9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w:t>
            </w:r>
          </w:p>
        </w:tc>
      </w:tr>
      <w:tr w:rsidR="003F6F17" w:rsidRPr="004E51D1" w14:paraId="2A0596C2" w14:textId="77777777" w:rsidTr="00425BD0">
        <w:tc>
          <w:tcPr>
            <w:tcW w:w="1384" w:type="dxa"/>
          </w:tcPr>
          <w:p w14:paraId="63B4BD1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55</w:t>
            </w:r>
          </w:p>
        </w:tc>
        <w:tc>
          <w:tcPr>
            <w:tcW w:w="1701" w:type="dxa"/>
          </w:tcPr>
          <w:p w14:paraId="27C667B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1650</w:t>
            </w:r>
          </w:p>
        </w:tc>
        <w:tc>
          <w:tcPr>
            <w:tcW w:w="1701" w:type="dxa"/>
          </w:tcPr>
          <w:p w14:paraId="0186450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16.5</w:t>
            </w:r>
          </w:p>
        </w:tc>
        <w:tc>
          <w:tcPr>
            <w:tcW w:w="4501" w:type="dxa"/>
          </w:tcPr>
          <w:p w14:paraId="1712099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eastAsia="hu-HU"/>
              </w:rPr>
              <w:t>5</w:t>
            </w:r>
            <w:r w:rsidRPr="004E51D1">
              <w:rPr>
                <w:rFonts w:ascii="Times New Roman" w:hAnsi="Times New Roman"/>
                <w:sz w:val="28"/>
                <w:szCs w:val="28"/>
                <w:lang w:val="en-US" w:eastAsia="hu-HU"/>
              </w:rPr>
              <w:t>.5</w:t>
            </w:r>
          </w:p>
        </w:tc>
      </w:tr>
      <w:tr w:rsidR="003F6F17" w:rsidRPr="004E51D1" w14:paraId="69C2F9A5" w14:textId="77777777" w:rsidTr="00425BD0">
        <w:tc>
          <w:tcPr>
            <w:tcW w:w="1384" w:type="dxa"/>
          </w:tcPr>
          <w:p w14:paraId="33754D5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60</w:t>
            </w:r>
          </w:p>
        </w:tc>
        <w:tc>
          <w:tcPr>
            <w:tcW w:w="1701" w:type="dxa"/>
          </w:tcPr>
          <w:p w14:paraId="3625791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1800</w:t>
            </w:r>
          </w:p>
        </w:tc>
        <w:tc>
          <w:tcPr>
            <w:tcW w:w="1701" w:type="dxa"/>
          </w:tcPr>
          <w:p w14:paraId="56A2F4B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18</w:t>
            </w:r>
          </w:p>
        </w:tc>
        <w:tc>
          <w:tcPr>
            <w:tcW w:w="4501" w:type="dxa"/>
          </w:tcPr>
          <w:p w14:paraId="449380D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6</w:t>
            </w:r>
          </w:p>
        </w:tc>
      </w:tr>
      <w:tr w:rsidR="003F6F17" w:rsidRPr="004E51D1" w14:paraId="2546EA73" w14:textId="77777777" w:rsidTr="00425BD0">
        <w:tc>
          <w:tcPr>
            <w:tcW w:w="1384" w:type="dxa"/>
          </w:tcPr>
          <w:p w14:paraId="77F00F9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65</w:t>
            </w:r>
          </w:p>
        </w:tc>
        <w:tc>
          <w:tcPr>
            <w:tcW w:w="1701" w:type="dxa"/>
          </w:tcPr>
          <w:p w14:paraId="4F93468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1950</w:t>
            </w:r>
          </w:p>
        </w:tc>
        <w:tc>
          <w:tcPr>
            <w:tcW w:w="1701" w:type="dxa"/>
          </w:tcPr>
          <w:p w14:paraId="6006BE0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19.5</w:t>
            </w:r>
          </w:p>
        </w:tc>
        <w:tc>
          <w:tcPr>
            <w:tcW w:w="4501" w:type="dxa"/>
          </w:tcPr>
          <w:p w14:paraId="7DB509D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6.5</w:t>
            </w:r>
          </w:p>
        </w:tc>
      </w:tr>
      <w:tr w:rsidR="003F6F17" w:rsidRPr="004E51D1" w14:paraId="52F391E3" w14:textId="77777777" w:rsidTr="00425BD0">
        <w:tc>
          <w:tcPr>
            <w:tcW w:w="1384" w:type="dxa"/>
          </w:tcPr>
          <w:p w14:paraId="2C9D0EE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70</w:t>
            </w:r>
          </w:p>
        </w:tc>
        <w:tc>
          <w:tcPr>
            <w:tcW w:w="1701" w:type="dxa"/>
          </w:tcPr>
          <w:p w14:paraId="2052691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2100</w:t>
            </w:r>
          </w:p>
        </w:tc>
        <w:tc>
          <w:tcPr>
            <w:tcW w:w="1701" w:type="dxa"/>
          </w:tcPr>
          <w:p w14:paraId="1495C29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21</w:t>
            </w:r>
          </w:p>
        </w:tc>
        <w:tc>
          <w:tcPr>
            <w:tcW w:w="4501" w:type="dxa"/>
          </w:tcPr>
          <w:p w14:paraId="5057CA2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7</w:t>
            </w:r>
          </w:p>
        </w:tc>
      </w:tr>
      <w:tr w:rsidR="003F6F17" w:rsidRPr="004E51D1" w14:paraId="658A05AD" w14:textId="77777777" w:rsidTr="00425BD0">
        <w:tc>
          <w:tcPr>
            <w:tcW w:w="1384" w:type="dxa"/>
          </w:tcPr>
          <w:p w14:paraId="65308921"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75</w:t>
            </w:r>
          </w:p>
        </w:tc>
        <w:tc>
          <w:tcPr>
            <w:tcW w:w="1701" w:type="dxa"/>
          </w:tcPr>
          <w:p w14:paraId="1209A4C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2250</w:t>
            </w:r>
          </w:p>
        </w:tc>
        <w:tc>
          <w:tcPr>
            <w:tcW w:w="1701" w:type="dxa"/>
          </w:tcPr>
          <w:p w14:paraId="1702844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22.5</w:t>
            </w:r>
          </w:p>
        </w:tc>
        <w:tc>
          <w:tcPr>
            <w:tcW w:w="4501" w:type="dxa"/>
          </w:tcPr>
          <w:p w14:paraId="5699CE3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7.5</w:t>
            </w:r>
          </w:p>
        </w:tc>
      </w:tr>
      <w:tr w:rsidR="003F6F17" w:rsidRPr="004E51D1" w14:paraId="2E7C7FFA" w14:textId="77777777" w:rsidTr="00425BD0">
        <w:tc>
          <w:tcPr>
            <w:tcW w:w="1384" w:type="dxa"/>
          </w:tcPr>
          <w:p w14:paraId="7B089FE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80</w:t>
            </w:r>
          </w:p>
        </w:tc>
        <w:tc>
          <w:tcPr>
            <w:tcW w:w="1701" w:type="dxa"/>
          </w:tcPr>
          <w:p w14:paraId="14EC3E6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2400</w:t>
            </w:r>
          </w:p>
        </w:tc>
        <w:tc>
          <w:tcPr>
            <w:tcW w:w="1701" w:type="dxa"/>
          </w:tcPr>
          <w:p w14:paraId="4622160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24</w:t>
            </w:r>
          </w:p>
        </w:tc>
        <w:tc>
          <w:tcPr>
            <w:tcW w:w="4501" w:type="dxa"/>
          </w:tcPr>
          <w:p w14:paraId="24B4285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8</w:t>
            </w:r>
          </w:p>
        </w:tc>
      </w:tr>
      <w:tr w:rsidR="003F6F17" w:rsidRPr="004E51D1" w14:paraId="2AA92BCD" w14:textId="77777777" w:rsidTr="00425BD0">
        <w:tc>
          <w:tcPr>
            <w:tcW w:w="1384" w:type="dxa"/>
          </w:tcPr>
          <w:p w14:paraId="794662A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85</w:t>
            </w:r>
          </w:p>
        </w:tc>
        <w:tc>
          <w:tcPr>
            <w:tcW w:w="1701" w:type="dxa"/>
          </w:tcPr>
          <w:p w14:paraId="1C43696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2550</w:t>
            </w:r>
          </w:p>
        </w:tc>
        <w:tc>
          <w:tcPr>
            <w:tcW w:w="1701" w:type="dxa"/>
          </w:tcPr>
          <w:p w14:paraId="61303C7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25.5</w:t>
            </w:r>
          </w:p>
        </w:tc>
        <w:tc>
          <w:tcPr>
            <w:tcW w:w="4501" w:type="dxa"/>
          </w:tcPr>
          <w:p w14:paraId="128C47B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8.5</w:t>
            </w:r>
          </w:p>
        </w:tc>
      </w:tr>
      <w:tr w:rsidR="003F6F17" w:rsidRPr="004E51D1" w14:paraId="115D8334" w14:textId="77777777" w:rsidTr="00425BD0">
        <w:tc>
          <w:tcPr>
            <w:tcW w:w="1384" w:type="dxa"/>
          </w:tcPr>
          <w:p w14:paraId="370220E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90</w:t>
            </w:r>
          </w:p>
        </w:tc>
        <w:tc>
          <w:tcPr>
            <w:tcW w:w="1701" w:type="dxa"/>
          </w:tcPr>
          <w:p w14:paraId="67B5180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2700</w:t>
            </w:r>
          </w:p>
        </w:tc>
        <w:tc>
          <w:tcPr>
            <w:tcW w:w="1701" w:type="dxa"/>
          </w:tcPr>
          <w:p w14:paraId="2968BEA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27</w:t>
            </w:r>
          </w:p>
        </w:tc>
        <w:tc>
          <w:tcPr>
            <w:tcW w:w="4501" w:type="dxa"/>
          </w:tcPr>
          <w:p w14:paraId="326615C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9</w:t>
            </w:r>
          </w:p>
        </w:tc>
      </w:tr>
      <w:tr w:rsidR="003F6F17" w:rsidRPr="004E51D1" w14:paraId="14DFFCA0" w14:textId="77777777" w:rsidTr="00425BD0">
        <w:tc>
          <w:tcPr>
            <w:tcW w:w="1384" w:type="dxa"/>
          </w:tcPr>
          <w:p w14:paraId="4B7F1F8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95</w:t>
            </w:r>
          </w:p>
        </w:tc>
        <w:tc>
          <w:tcPr>
            <w:tcW w:w="1701" w:type="dxa"/>
          </w:tcPr>
          <w:p w14:paraId="66EA773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2850</w:t>
            </w:r>
          </w:p>
        </w:tc>
        <w:tc>
          <w:tcPr>
            <w:tcW w:w="1701" w:type="dxa"/>
          </w:tcPr>
          <w:p w14:paraId="4BECFAC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28.5</w:t>
            </w:r>
          </w:p>
        </w:tc>
        <w:tc>
          <w:tcPr>
            <w:tcW w:w="4501" w:type="dxa"/>
          </w:tcPr>
          <w:p w14:paraId="5D5EB20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9.5</w:t>
            </w:r>
          </w:p>
        </w:tc>
      </w:tr>
      <w:tr w:rsidR="003F6F17" w:rsidRPr="004E51D1" w14:paraId="5A709E1F" w14:textId="77777777" w:rsidTr="00425BD0">
        <w:trPr>
          <w:trHeight w:val="279"/>
        </w:trPr>
        <w:tc>
          <w:tcPr>
            <w:tcW w:w="1384" w:type="dxa"/>
          </w:tcPr>
          <w:p w14:paraId="6FEB504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100</w:t>
            </w:r>
          </w:p>
        </w:tc>
        <w:tc>
          <w:tcPr>
            <w:tcW w:w="1701" w:type="dxa"/>
          </w:tcPr>
          <w:p w14:paraId="3174936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3000</w:t>
            </w:r>
          </w:p>
        </w:tc>
        <w:tc>
          <w:tcPr>
            <w:tcW w:w="1701" w:type="dxa"/>
          </w:tcPr>
          <w:p w14:paraId="6048CDB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30</w:t>
            </w:r>
          </w:p>
        </w:tc>
        <w:tc>
          <w:tcPr>
            <w:tcW w:w="4501" w:type="dxa"/>
          </w:tcPr>
          <w:p w14:paraId="640978E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10</w:t>
            </w:r>
          </w:p>
        </w:tc>
      </w:tr>
      <w:tr w:rsidR="003F6F17" w:rsidRPr="004E51D1" w14:paraId="318195D8" w14:textId="77777777" w:rsidTr="00425BD0">
        <w:tc>
          <w:tcPr>
            <w:tcW w:w="1384" w:type="dxa"/>
          </w:tcPr>
          <w:p w14:paraId="2D6EE16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105</w:t>
            </w:r>
          </w:p>
        </w:tc>
        <w:tc>
          <w:tcPr>
            <w:tcW w:w="1701" w:type="dxa"/>
          </w:tcPr>
          <w:p w14:paraId="11CB0E7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3150</w:t>
            </w:r>
          </w:p>
        </w:tc>
        <w:tc>
          <w:tcPr>
            <w:tcW w:w="1701" w:type="dxa"/>
          </w:tcPr>
          <w:p w14:paraId="35F65BA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31.5</w:t>
            </w:r>
          </w:p>
        </w:tc>
        <w:tc>
          <w:tcPr>
            <w:tcW w:w="4501" w:type="dxa"/>
          </w:tcPr>
          <w:p w14:paraId="4726AB2C"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10.5</w:t>
            </w:r>
          </w:p>
        </w:tc>
      </w:tr>
      <w:tr w:rsidR="003F6F17" w:rsidRPr="004E51D1" w14:paraId="4DD77F13" w14:textId="77777777" w:rsidTr="00425BD0">
        <w:tc>
          <w:tcPr>
            <w:tcW w:w="1384" w:type="dxa"/>
          </w:tcPr>
          <w:p w14:paraId="535E57A9"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110</w:t>
            </w:r>
          </w:p>
        </w:tc>
        <w:tc>
          <w:tcPr>
            <w:tcW w:w="1701" w:type="dxa"/>
          </w:tcPr>
          <w:p w14:paraId="6555C037"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3300</w:t>
            </w:r>
          </w:p>
        </w:tc>
        <w:tc>
          <w:tcPr>
            <w:tcW w:w="1701" w:type="dxa"/>
          </w:tcPr>
          <w:p w14:paraId="25BBE54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33</w:t>
            </w:r>
          </w:p>
        </w:tc>
        <w:tc>
          <w:tcPr>
            <w:tcW w:w="4501" w:type="dxa"/>
          </w:tcPr>
          <w:p w14:paraId="3458CDAF"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11</w:t>
            </w:r>
          </w:p>
        </w:tc>
      </w:tr>
      <w:tr w:rsidR="003F6F17" w:rsidRPr="004E51D1" w14:paraId="3BF845CB" w14:textId="77777777" w:rsidTr="00425BD0">
        <w:tc>
          <w:tcPr>
            <w:tcW w:w="1384" w:type="dxa"/>
          </w:tcPr>
          <w:p w14:paraId="5F32E73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115</w:t>
            </w:r>
          </w:p>
        </w:tc>
        <w:tc>
          <w:tcPr>
            <w:tcW w:w="1701" w:type="dxa"/>
          </w:tcPr>
          <w:p w14:paraId="3EDC6D9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3450</w:t>
            </w:r>
          </w:p>
        </w:tc>
        <w:tc>
          <w:tcPr>
            <w:tcW w:w="1701" w:type="dxa"/>
          </w:tcPr>
          <w:p w14:paraId="2964059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34.5</w:t>
            </w:r>
          </w:p>
        </w:tc>
        <w:tc>
          <w:tcPr>
            <w:tcW w:w="4501" w:type="dxa"/>
          </w:tcPr>
          <w:p w14:paraId="7D36D78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11.5</w:t>
            </w:r>
          </w:p>
        </w:tc>
      </w:tr>
      <w:tr w:rsidR="003F6F17" w:rsidRPr="004E51D1" w14:paraId="47909D38" w14:textId="77777777" w:rsidTr="00425BD0">
        <w:tc>
          <w:tcPr>
            <w:tcW w:w="1384" w:type="dxa"/>
          </w:tcPr>
          <w:p w14:paraId="3E9A431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120</w:t>
            </w:r>
          </w:p>
        </w:tc>
        <w:tc>
          <w:tcPr>
            <w:tcW w:w="1701" w:type="dxa"/>
          </w:tcPr>
          <w:p w14:paraId="3F0D2BC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3600</w:t>
            </w:r>
          </w:p>
        </w:tc>
        <w:tc>
          <w:tcPr>
            <w:tcW w:w="1701" w:type="dxa"/>
          </w:tcPr>
          <w:p w14:paraId="7755BB1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36</w:t>
            </w:r>
          </w:p>
        </w:tc>
        <w:tc>
          <w:tcPr>
            <w:tcW w:w="4501" w:type="dxa"/>
          </w:tcPr>
          <w:p w14:paraId="2EF6A7D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12</w:t>
            </w:r>
          </w:p>
        </w:tc>
      </w:tr>
      <w:tr w:rsidR="003F6F17" w:rsidRPr="004E51D1" w14:paraId="069A0051" w14:textId="77777777" w:rsidTr="00425BD0">
        <w:tc>
          <w:tcPr>
            <w:tcW w:w="1384" w:type="dxa"/>
          </w:tcPr>
          <w:p w14:paraId="11EC523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125</w:t>
            </w:r>
          </w:p>
        </w:tc>
        <w:tc>
          <w:tcPr>
            <w:tcW w:w="1701" w:type="dxa"/>
          </w:tcPr>
          <w:p w14:paraId="321A34B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3750</w:t>
            </w:r>
          </w:p>
        </w:tc>
        <w:tc>
          <w:tcPr>
            <w:tcW w:w="1701" w:type="dxa"/>
          </w:tcPr>
          <w:p w14:paraId="3265F1B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37.5</w:t>
            </w:r>
          </w:p>
        </w:tc>
        <w:tc>
          <w:tcPr>
            <w:tcW w:w="4501" w:type="dxa"/>
          </w:tcPr>
          <w:p w14:paraId="0BF6655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12.5</w:t>
            </w:r>
          </w:p>
        </w:tc>
      </w:tr>
      <w:tr w:rsidR="003F6F17" w:rsidRPr="004E51D1" w14:paraId="393C7F97" w14:textId="77777777" w:rsidTr="00425BD0">
        <w:tc>
          <w:tcPr>
            <w:tcW w:w="1384" w:type="dxa"/>
          </w:tcPr>
          <w:p w14:paraId="5D0ACAC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130</w:t>
            </w:r>
          </w:p>
        </w:tc>
        <w:tc>
          <w:tcPr>
            <w:tcW w:w="1701" w:type="dxa"/>
          </w:tcPr>
          <w:p w14:paraId="0211828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3900</w:t>
            </w:r>
          </w:p>
        </w:tc>
        <w:tc>
          <w:tcPr>
            <w:tcW w:w="1701" w:type="dxa"/>
          </w:tcPr>
          <w:p w14:paraId="74C9D0F4"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39</w:t>
            </w:r>
          </w:p>
        </w:tc>
        <w:tc>
          <w:tcPr>
            <w:tcW w:w="4501" w:type="dxa"/>
          </w:tcPr>
          <w:p w14:paraId="7D62254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13</w:t>
            </w:r>
          </w:p>
        </w:tc>
      </w:tr>
      <w:tr w:rsidR="003F6F17" w:rsidRPr="004E51D1" w14:paraId="54C15D01" w14:textId="77777777" w:rsidTr="00425BD0">
        <w:tc>
          <w:tcPr>
            <w:tcW w:w="1384" w:type="dxa"/>
          </w:tcPr>
          <w:p w14:paraId="60F78E4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135</w:t>
            </w:r>
          </w:p>
        </w:tc>
        <w:tc>
          <w:tcPr>
            <w:tcW w:w="1701" w:type="dxa"/>
          </w:tcPr>
          <w:p w14:paraId="141961FB"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4050</w:t>
            </w:r>
          </w:p>
        </w:tc>
        <w:tc>
          <w:tcPr>
            <w:tcW w:w="1701" w:type="dxa"/>
          </w:tcPr>
          <w:p w14:paraId="2CD0922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40.5</w:t>
            </w:r>
          </w:p>
        </w:tc>
        <w:tc>
          <w:tcPr>
            <w:tcW w:w="4501" w:type="dxa"/>
          </w:tcPr>
          <w:p w14:paraId="5883D64E"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13.5</w:t>
            </w:r>
          </w:p>
        </w:tc>
      </w:tr>
      <w:tr w:rsidR="003F6F17" w:rsidRPr="004E51D1" w14:paraId="5FEF7AA7" w14:textId="77777777" w:rsidTr="00425BD0">
        <w:tc>
          <w:tcPr>
            <w:tcW w:w="1384" w:type="dxa"/>
          </w:tcPr>
          <w:p w14:paraId="1919D412"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140</w:t>
            </w:r>
          </w:p>
        </w:tc>
        <w:tc>
          <w:tcPr>
            <w:tcW w:w="1701" w:type="dxa"/>
          </w:tcPr>
          <w:p w14:paraId="0EE96ED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4200</w:t>
            </w:r>
          </w:p>
        </w:tc>
        <w:tc>
          <w:tcPr>
            <w:tcW w:w="1701" w:type="dxa"/>
          </w:tcPr>
          <w:p w14:paraId="2C4CE4DA"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42</w:t>
            </w:r>
          </w:p>
        </w:tc>
        <w:tc>
          <w:tcPr>
            <w:tcW w:w="4501" w:type="dxa"/>
          </w:tcPr>
          <w:p w14:paraId="1CF4370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14</w:t>
            </w:r>
          </w:p>
        </w:tc>
      </w:tr>
      <w:tr w:rsidR="003F6F17" w:rsidRPr="004E51D1" w14:paraId="309F1037" w14:textId="77777777" w:rsidTr="00425BD0">
        <w:tc>
          <w:tcPr>
            <w:tcW w:w="1384" w:type="dxa"/>
          </w:tcPr>
          <w:p w14:paraId="01414F9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145</w:t>
            </w:r>
          </w:p>
        </w:tc>
        <w:tc>
          <w:tcPr>
            <w:tcW w:w="1701" w:type="dxa"/>
          </w:tcPr>
          <w:p w14:paraId="4196C4B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4350</w:t>
            </w:r>
          </w:p>
        </w:tc>
        <w:tc>
          <w:tcPr>
            <w:tcW w:w="1701" w:type="dxa"/>
          </w:tcPr>
          <w:p w14:paraId="5005AC86"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43.5</w:t>
            </w:r>
          </w:p>
        </w:tc>
        <w:tc>
          <w:tcPr>
            <w:tcW w:w="4501" w:type="dxa"/>
          </w:tcPr>
          <w:p w14:paraId="04B86248"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14.5</w:t>
            </w:r>
          </w:p>
        </w:tc>
      </w:tr>
      <w:tr w:rsidR="003F6F17" w:rsidRPr="004E51D1" w14:paraId="688FEE3E" w14:textId="77777777" w:rsidTr="00425BD0">
        <w:tc>
          <w:tcPr>
            <w:tcW w:w="1384" w:type="dxa"/>
          </w:tcPr>
          <w:p w14:paraId="613DE053"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150</w:t>
            </w:r>
          </w:p>
        </w:tc>
        <w:tc>
          <w:tcPr>
            <w:tcW w:w="1701" w:type="dxa"/>
          </w:tcPr>
          <w:p w14:paraId="1DD3C1E5"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4500</w:t>
            </w:r>
          </w:p>
        </w:tc>
        <w:tc>
          <w:tcPr>
            <w:tcW w:w="1701" w:type="dxa"/>
          </w:tcPr>
          <w:p w14:paraId="5FC23DB0"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eastAsia="hu-HU"/>
              </w:rPr>
            </w:pPr>
            <w:r w:rsidRPr="004E51D1">
              <w:rPr>
                <w:rFonts w:ascii="Times New Roman" w:hAnsi="Times New Roman"/>
                <w:sz w:val="28"/>
                <w:szCs w:val="28"/>
                <w:lang w:eastAsia="hu-HU"/>
              </w:rPr>
              <w:t>45</w:t>
            </w:r>
          </w:p>
        </w:tc>
        <w:tc>
          <w:tcPr>
            <w:tcW w:w="4501" w:type="dxa"/>
          </w:tcPr>
          <w:p w14:paraId="39C57E6D" w14:textId="77777777" w:rsidR="003F6F17" w:rsidRPr="004E51D1" w:rsidRDefault="003F6F17" w:rsidP="003F6F17">
            <w:pPr>
              <w:tabs>
                <w:tab w:val="left" w:pos="567"/>
              </w:tabs>
              <w:spacing w:after="0" w:line="240" w:lineRule="auto"/>
              <w:contextualSpacing/>
              <w:jc w:val="both"/>
              <w:rPr>
                <w:rFonts w:ascii="Times New Roman" w:hAnsi="Times New Roman"/>
                <w:sz w:val="28"/>
                <w:szCs w:val="28"/>
                <w:lang w:val="en-US" w:eastAsia="hu-HU"/>
              </w:rPr>
            </w:pPr>
            <w:r w:rsidRPr="004E51D1">
              <w:rPr>
                <w:rFonts w:ascii="Times New Roman" w:hAnsi="Times New Roman"/>
                <w:sz w:val="28"/>
                <w:szCs w:val="28"/>
                <w:lang w:val="en-US" w:eastAsia="hu-HU"/>
              </w:rPr>
              <w:t>15</w:t>
            </w:r>
          </w:p>
        </w:tc>
      </w:tr>
    </w:tbl>
    <w:p w14:paraId="74B3A7C6"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Инъекция в артериальную линию:</w:t>
      </w:r>
    </w:p>
    <w:p w14:paraId="2B383C4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Вводится через артериальную линию диализного контура для предотвращения образования тромбов в экстракорпоральном кровообращении во время гемодиализа.</w:t>
      </w:r>
    </w:p>
    <w:p w14:paraId="276E7366" w14:textId="77777777" w:rsidR="003F6F17" w:rsidRPr="004E51D1" w:rsidRDefault="003F6F17" w:rsidP="003F6F17">
      <w:pPr>
        <w:tabs>
          <w:tab w:val="left" w:pos="567"/>
        </w:tabs>
        <w:jc w:val="both"/>
        <w:rPr>
          <w:rFonts w:eastAsia="Calibri"/>
          <w:i/>
          <w:sz w:val="28"/>
          <w:szCs w:val="28"/>
          <w:u w:val="single"/>
          <w:lang w:eastAsia="hu-HU"/>
        </w:rPr>
      </w:pPr>
      <w:r w:rsidRPr="004E51D1">
        <w:rPr>
          <w:rFonts w:eastAsia="Calibri"/>
          <w:i/>
          <w:sz w:val="28"/>
          <w:szCs w:val="28"/>
          <w:u w:val="single"/>
          <w:lang w:eastAsia="hu-HU"/>
        </w:rPr>
        <w:t xml:space="preserve">Переход от </w:t>
      </w:r>
      <w:proofErr w:type="spellStart"/>
      <w:r w:rsidRPr="004E51D1">
        <w:rPr>
          <w:rFonts w:eastAsia="Calibri"/>
          <w:i/>
          <w:sz w:val="28"/>
          <w:szCs w:val="28"/>
          <w:u w:val="single"/>
          <w:lang w:eastAsia="hu-HU"/>
        </w:rPr>
        <w:t>эноксапарина</w:t>
      </w:r>
      <w:proofErr w:type="spellEnd"/>
      <w:r w:rsidRPr="004E51D1">
        <w:rPr>
          <w:rFonts w:eastAsia="Calibri"/>
          <w:i/>
          <w:sz w:val="28"/>
          <w:szCs w:val="28"/>
          <w:u w:val="single"/>
          <w:lang w:eastAsia="hu-HU"/>
        </w:rPr>
        <w:t xml:space="preserve"> натрия к пероральным антикоагулянтам </w:t>
      </w:r>
    </w:p>
    <w:p w14:paraId="534DDB95" w14:textId="77777777" w:rsidR="003F6F17" w:rsidRPr="004E51D1" w:rsidRDefault="003F6F17" w:rsidP="003F6F17">
      <w:pPr>
        <w:tabs>
          <w:tab w:val="left" w:pos="567"/>
        </w:tabs>
        <w:jc w:val="both"/>
        <w:rPr>
          <w:rFonts w:eastAsia="Calibri"/>
          <w:i/>
          <w:sz w:val="28"/>
          <w:szCs w:val="28"/>
          <w:lang w:eastAsia="hu-HU"/>
        </w:rPr>
      </w:pPr>
      <w:r w:rsidRPr="004E51D1">
        <w:rPr>
          <w:rFonts w:eastAsia="Calibri"/>
          <w:i/>
          <w:sz w:val="28"/>
          <w:szCs w:val="28"/>
          <w:lang w:eastAsia="hu-HU"/>
        </w:rPr>
        <w:t xml:space="preserve">- Переход от </w:t>
      </w:r>
      <w:proofErr w:type="spellStart"/>
      <w:r w:rsidRPr="004E51D1">
        <w:rPr>
          <w:rFonts w:eastAsia="Calibri"/>
          <w:i/>
          <w:sz w:val="28"/>
          <w:szCs w:val="28"/>
          <w:lang w:eastAsia="hu-HU"/>
        </w:rPr>
        <w:t>эноксапарина</w:t>
      </w:r>
      <w:proofErr w:type="spellEnd"/>
      <w:r w:rsidRPr="004E51D1">
        <w:rPr>
          <w:rFonts w:eastAsia="Calibri"/>
          <w:i/>
          <w:sz w:val="28"/>
          <w:szCs w:val="28"/>
          <w:lang w:eastAsia="hu-HU"/>
        </w:rPr>
        <w:t xml:space="preserve"> натрия к антагонистам витамина K (АВК): </w:t>
      </w:r>
    </w:p>
    <w:p w14:paraId="6CEDC090"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клинический мониторинг и лабораторные тесты [</w:t>
      </w:r>
      <w:proofErr w:type="spellStart"/>
      <w:r w:rsidRPr="004E51D1">
        <w:rPr>
          <w:rFonts w:eastAsia="Calibri"/>
          <w:sz w:val="28"/>
          <w:szCs w:val="28"/>
          <w:lang w:eastAsia="hu-HU"/>
        </w:rPr>
        <w:t>протромбиновое</w:t>
      </w:r>
      <w:proofErr w:type="spellEnd"/>
      <w:r w:rsidRPr="004E51D1">
        <w:rPr>
          <w:rFonts w:eastAsia="Calibri"/>
          <w:sz w:val="28"/>
          <w:szCs w:val="28"/>
          <w:lang w:eastAsia="hu-HU"/>
        </w:rPr>
        <w:t xml:space="preserve"> время, выраженное как Международный Коэффициент Нормализации (МКН)] необходимо усилить для контроля эффекта АВК. Поскольку до </w:t>
      </w:r>
      <w:r w:rsidRPr="004E51D1">
        <w:rPr>
          <w:rFonts w:eastAsia="Calibri"/>
          <w:sz w:val="28"/>
          <w:szCs w:val="28"/>
          <w:lang w:eastAsia="hu-HU"/>
        </w:rPr>
        <w:lastRenderedPageBreak/>
        <w:t xml:space="preserve">достижения АВК своего максимального эффекта проходит какой-то промежуток времени, терапию </w:t>
      </w:r>
      <w:proofErr w:type="spellStart"/>
      <w:r w:rsidRPr="004E51D1">
        <w:rPr>
          <w:rFonts w:eastAsia="Calibri"/>
          <w:sz w:val="28"/>
          <w:szCs w:val="28"/>
          <w:lang w:eastAsia="hu-HU"/>
        </w:rPr>
        <w:t>эноксапарином</w:t>
      </w:r>
      <w:proofErr w:type="spellEnd"/>
      <w:r w:rsidRPr="004E51D1">
        <w:rPr>
          <w:rFonts w:eastAsia="Calibri"/>
          <w:sz w:val="28"/>
          <w:szCs w:val="28"/>
          <w:lang w:eastAsia="hu-HU"/>
        </w:rPr>
        <w:t xml:space="preserve"> натрия следует продолжать при постоянной дозе столько, сколько необходимо, для поддержания МКН в пределах нужного терапевтического диапазона для показания в двух последовательных тестах.</w:t>
      </w:r>
    </w:p>
    <w:p w14:paraId="7801418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Пациентам, получающим на данный момент АВК, следует прекратить прием АВК, и первую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дать, когда МКН упадет ниже терапевтического диапазона.</w:t>
      </w:r>
    </w:p>
    <w:p w14:paraId="633CDE7E"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w:t>
      </w:r>
      <w:r w:rsidRPr="004E51D1">
        <w:rPr>
          <w:rFonts w:eastAsia="Calibri"/>
          <w:i/>
          <w:sz w:val="28"/>
          <w:szCs w:val="28"/>
          <w:lang w:eastAsia="hu-HU"/>
        </w:rPr>
        <w:t xml:space="preserve">Переход от </w:t>
      </w:r>
      <w:proofErr w:type="spellStart"/>
      <w:r w:rsidRPr="004E51D1">
        <w:rPr>
          <w:rFonts w:eastAsia="Calibri"/>
          <w:i/>
          <w:sz w:val="28"/>
          <w:szCs w:val="28"/>
          <w:lang w:eastAsia="hu-HU"/>
        </w:rPr>
        <w:t>эноксапарина</w:t>
      </w:r>
      <w:proofErr w:type="spellEnd"/>
      <w:r w:rsidRPr="004E51D1">
        <w:rPr>
          <w:rFonts w:eastAsia="Calibri"/>
          <w:i/>
          <w:sz w:val="28"/>
          <w:szCs w:val="28"/>
          <w:lang w:eastAsia="hu-HU"/>
        </w:rPr>
        <w:t xml:space="preserve"> натрия к пероральным антикоагулянтам прямого действия (ПАПД): </w:t>
      </w:r>
      <w:r w:rsidRPr="004E51D1">
        <w:rPr>
          <w:rFonts w:eastAsia="Calibri"/>
          <w:sz w:val="28"/>
          <w:szCs w:val="28"/>
          <w:lang w:eastAsia="hu-HU"/>
        </w:rPr>
        <w:t xml:space="preserve">пациентам, получающим на данный момент </w:t>
      </w:r>
      <w:proofErr w:type="spellStart"/>
      <w:r w:rsidRPr="004E51D1">
        <w:rPr>
          <w:rFonts w:eastAsia="Calibri"/>
          <w:sz w:val="28"/>
          <w:szCs w:val="28"/>
          <w:lang w:eastAsia="hu-HU"/>
        </w:rPr>
        <w:t>эноксапарин</w:t>
      </w:r>
      <w:proofErr w:type="spellEnd"/>
      <w:r w:rsidRPr="004E51D1">
        <w:rPr>
          <w:rFonts w:eastAsia="Calibri"/>
          <w:sz w:val="28"/>
          <w:szCs w:val="28"/>
          <w:lang w:eastAsia="hu-HU"/>
        </w:rPr>
        <w:t xml:space="preserve"> натрия, следует прекратить прием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и начать терапию ПАПД за 0-2 часа до времени, когда наступит следующее плановое введение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согласно инструкции по применению ПАПД.</w:t>
      </w:r>
    </w:p>
    <w:p w14:paraId="313075F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Пациентам, получающим на данный момент ПАПД, первую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следует дать тогда, когда должна быть принята следующая доза ПАПД.</w:t>
      </w:r>
    </w:p>
    <w:p w14:paraId="2B2B7288" w14:textId="77777777" w:rsidR="003F6F17" w:rsidRPr="004E51D1" w:rsidRDefault="003F6F17" w:rsidP="003F6F17">
      <w:pPr>
        <w:tabs>
          <w:tab w:val="left" w:pos="567"/>
        </w:tabs>
        <w:jc w:val="both"/>
        <w:rPr>
          <w:rFonts w:eastAsia="Calibri"/>
          <w:i/>
          <w:iCs/>
          <w:sz w:val="28"/>
          <w:szCs w:val="28"/>
          <w:u w:val="single"/>
          <w:lang w:eastAsia="hu-HU"/>
        </w:rPr>
      </w:pPr>
      <w:r w:rsidRPr="004E51D1">
        <w:rPr>
          <w:rFonts w:eastAsia="Calibri"/>
          <w:i/>
          <w:iCs/>
          <w:sz w:val="28"/>
          <w:szCs w:val="28"/>
          <w:u w:val="single"/>
          <w:lang w:eastAsia="hu-HU"/>
        </w:rPr>
        <w:t xml:space="preserve">Введение при спинальной/эпидуральной анестезии или </w:t>
      </w:r>
      <w:proofErr w:type="spellStart"/>
      <w:r w:rsidRPr="004E51D1">
        <w:rPr>
          <w:rFonts w:eastAsia="Calibri"/>
          <w:i/>
          <w:iCs/>
          <w:sz w:val="28"/>
          <w:szCs w:val="28"/>
          <w:u w:val="single"/>
          <w:lang w:eastAsia="hu-HU"/>
        </w:rPr>
        <w:t>люмбальной</w:t>
      </w:r>
      <w:proofErr w:type="spellEnd"/>
      <w:r w:rsidRPr="004E51D1">
        <w:rPr>
          <w:rFonts w:eastAsia="Calibri"/>
          <w:i/>
          <w:iCs/>
          <w:sz w:val="28"/>
          <w:szCs w:val="28"/>
          <w:u w:val="single"/>
          <w:lang w:eastAsia="hu-HU"/>
        </w:rPr>
        <w:t xml:space="preserve"> пункции</w:t>
      </w:r>
    </w:p>
    <w:p w14:paraId="3CD59C6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Если врач принимает решение о назначении антикоагулянтов в контексте эпидуральной или спинальной анестезии/анальгезии или </w:t>
      </w:r>
      <w:proofErr w:type="spellStart"/>
      <w:r w:rsidRPr="004E51D1">
        <w:rPr>
          <w:rFonts w:eastAsia="Calibri"/>
          <w:sz w:val="28"/>
          <w:szCs w:val="28"/>
          <w:lang w:eastAsia="hu-HU"/>
        </w:rPr>
        <w:t>люмбальной</w:t>
      </w:r>
      <w:proofErr w:type="spellEnd"/>
      <w:r w:rsidRPr="004E51D1">
        <w:rPr>
          <w:rFonts w:eastAsia="Calibri"/>
          <w:sz w:val="28"/>
          <w:szCs w:val="28"/>
          <w:lang w:eastAsia="hu-HU"/>
        </w:rPr>
        <w:t xml:space="preserve"> пункции, рекомендуется проводить тщательный неврологический мониторинг из-за риска возникновения </w:t>
      </w:r>
      <w:proofErr w:type="spellStart"/>
      <w:r w:rsidRPr="004E51D1">
        <w:rPr>
          <w:rFonts w:eastAsia="Calibri"/>
          <w:sz w:val="28"/>
          <w:szCs w:val="28"/>
          <w:lang w:eastAsia="hu-HU"/>
        </w:rPr>
        <w:t>нейроаксиальных</w:t>
      </w:r>
      <w:proofErr w:type="spellEnd"/>
      <w:r w:rsidRPr="004E51D1">
        <w:rPr>
          <w:rFonts w:eastAsia="Calibri"/>
          <w:sz w:val="28"/>
          <w:szCs w:val="28"/>
          <w:lang w:eastAsia="hu-HU"/>
        </w:rPr>
        <w:t xml:space="preserve"> гематом.</w:t>
      </w:r>
    </w:p>
    <w:p w14:paraId="69DE02D1"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В дозах, используемых для профилактики</w:t>
      </w:r>
    </w:p>
    <w:p w14:paraId="051EFF3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Между последней инъекцией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профилактических дозах и установкой иглы или катетера должен соблюдаться интервал без пункций не менее 12 часов.</w:t>
      </w:r>
    </w:p>
    <w:p w14:paraId="1132B5E8"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непрерывных методов следует соблюдать аналогичную задержку не менее 12 часов перед удалением катетера.</w:t>
      </w:r>
    </w:p>
    <w:p w14:paraId="61794A9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пациентов с клиренсом креатинина [15–30] мл/мин рассмотрите возможность удвоения времени пункции/постановки или удаления катетера до не менее 24 часов.</w:t>
      </w:r>
    </w:p>
    <w:p w14:paraId="052F5D5F"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Двухчасовое предоперационное начало приема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2000 МЕ (20 мг) несовместимо с </w:t>
      </w:r>
      <w:proofErr w:type="spellStart"/>
      <w:r w:rsidRPr="004E51D1">
        <w:rPr>
          <w:rFonts w:eastAsia="Calibri"/>
          <w:sz w:val="28"/>
          <w:szCs w:val="28"/>
          <w:lang w:eastAsia="hu-HU"/>
        </w:rPr>
        <w:t>нейроаксиальной</w:t>
      </w:r>
      <w:proofErr w:type="spellEnd"/>
      <w:r w:rsidRPr="004E51D1">
        <w:rPr>
          <w:rFonts w:eastAsia="Calibri"/>
          <w:sz w:val="28"/>
          <w:szCs w:val="28"/>
          <w:lang w:eastAsia="hu-HU"/>
        </w:rPr>
        <w:t xml:space="preserve"> анестезией.</w:t>
      </w:r>
    </w:p>
    <w:p w14:paraId="051DC92D" w14:textId="77777777" w:rsidR="003F6F17" w:rsidRPr="004E51D1" w:rsidRDefault="003F6F17" w:rsidP="003F6F17">
      <w:pPr>
        <w:tabs>
          <w:tab w:val="left" w:pos="567"/>
        </w:tabs>
        <w:jc w:val="both"/>
        <w:rPr>
          <w:rFonts w:eastAsia="Calibri"/>
          <w:i/>
          <w:iCs/>
          <w:sz w:val="28"/>
          <w:szCs w:val="28"/>
          <w:lang w:eastAsia="hu-HU"/>
        </w:rPr>
      </w:pPr>
      <w:r w:rsidRPr="004E51D1">
        <w:rPr>
          <w:rFonts w:eastAsia="Calibri"/>
          <w:i/>
          <w:iCs/>
          <w:sz w:val="28"/>
          <w:szCs w:val="28"/>
          <w:lang w:eastAsia="hu-HU"/>
        </w:rPr>
        <w:t>В дозах, используемых для лечения</w:t>
      </w:r>
    </w:p>
    <w:p w14:paraId="62BB77A5"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Между последней инъекцией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в лечебных дозах и установкой иглы или катетера должен соблюдаться интервал без пункций не менее 24 часов.</w:t>
      </w:r>
    </w:p>
    <w:p w14:paraId="4CE9ECE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При непрерывных методах следует соблюдать аналогичную задержку в 24 часа перед удалением катетера.</w:t>
      </w:r>
    </w:p>
    <w:p w14:paraId="45322C57"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Для пациентов с клиренсом креатинина [15–30] мл/мин рассмотрите возможность удвоения времени пункции/установки или удаления катетера до не менее 48 часов.</w:t>
      </w:r>
    </w:p>
    <w:p w14:paraId="30DBD7F4"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 Пациентам, получающим дозы дважды в день (т. е. 75 МЕ/кг (0,75 мг/кг) дважды в день или 100 МЕ/кг (1 мг/кг) дважды в день), следует пропустить </w:t>
      </w:r>
      <w:r w:rsidRPr="004E51D1">
        <w:rPr>
          <w:rFonts w:eastAsia="Calibri"/>
          <w:sz w:val="28"/>
          <w:szCs w:val="28"/>
          <w:lang w:eastAsia="hu-HU"/>
        </w:rPr>
        <w:lastRenderedPageBreak/>
        <w:t xml:space="preserve">вторую дозу </w:t>
      </w:r>
      <w:proofErr w:type="spellStart"/>
      <w:r w:rsidRPr="004E51D1">
        <w:rPr>
          <w:rFonts w:eastAsia="Calibri"/>
          <w:sz w:val="28"/>
          <w:szCs w:val="28"/>
          <w:lang w:eastAsia="hu-HU"/>
        </w:rPr>
        <w:t>эноксапарина</w:t>
      </w:r>
      <w:proofErr w:type="spellEnd"/>
      <w:r w:rsidRPr="004E51D1">
        <w:rPr>
          <w:rFonts w:eastAsia="Calibri"/>
          <w:sz w:val="28"/>
          <w:szCs w:val="28"/>
          <w:lang w:eastAsia="hu-HU"/>
        </w:rPr>
        <w:t xml:space="preserve"> натрия, чтобы обеспечить достаточную задержку перед установкой или удалением катетера.</w:t>
      </w:r>
    </w:p>
    <w:p w14:paraId="7CF87704"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Уровни анти-Ха все еще определяются в эти временные точки, и эти задержки не являются гарантией того, что </w:t>
      </w:r>
      <w:proofErr w:type="spellStart"/>
      <w:r w:rsidRPr="004E51D1">
        <w:rPr>
          <w:rFonts w:eastAsia="Calibri"/>
          <w:sz w:val="28"/>
          <w:szCs w:val="28"/>
          <w:lang w:eastAsia="hu-HU"/>
        </w:rPr>
        <w:t>нейроаксиальная</w:t>
      </w:r>
      <w:proofErr w:type="spellEnd"/>
      <w:r w:rsidRPr="004E51D1">
        <w:rPr>
          <w:rFonts w:eastAsia="Calibri"/>
          <w:sz w:val="28"/>
          <w:szCs w:val="28"/>
          <w:lang w:eastAsia="hu-HU"/>
        </w:rPr>
        <w:t xml:space="preserve"> гематома будет предотвращена.</w:t>
      </w:r>
    </w:p>
    <w:p w14:paraId="62FACA50" w14:textId="77777777" w:rsidR="003F6F17" w:rsidRPr="004E51D1" w:rsidRDefault="003F6F17" w:rsidP="003F6F17">
      <w:pPr>
        <w:tabs>
          <w:tab w:val="left" w:pos="567"/>
        </w:tabs>
        <w:jc w:val="both"/>
        <w:rPr>
          <w:rFonts w:eastAsia="Calibri"/>
          <w:sz w:val="28"/>
          <w:szCs w:val="28"/>
          <w:lang w:eastAsia="hu-HU"/>
        </w:rPr>
      </w:pPr>
      <w:r w:rsidRPr="004E51D1">
        <w:rPr>
          <w:rFonts w:eastAsia="Calibri"/>
          <w:sz w:val="28"/>
          <w:szCs w:val="28"/>
          <w:lang w:eastAsia="hu-HU"/>
        </w:rPr>
        <w:t xml:space="preserve">Аналогично, рассмотрите возможность не использовать </w:t>
      </w:r>
      <w:proofErr w:type="spellStart"/>
      <w:r w:rsidRPr="004E51D1">
        <w:rPr>
          <w:rFonts w:eastAsia="Calibri"/>
          <w:sz w:val="28"/>
          <w:szCs w:val="28"/>
          <w:lang w:eastAsia="hu-HU"/>
        </w:rPr>
        <w:t>эноксапарин</w:t>
      </w:r>
      <w:proofErr w:type="spellEnd"/>
      <w:r w:rsidRPr="004E51D1">
        <w:rPr>
          <w:rFonts w:eastAsia="Calibri"/>
          <w:sz w:val="28"/>
          <w:szCs w:val="28"/>
          <w:lang w:eastAsia="hu-HU"/>
        </w:rPr>
        <w:t xml:space="preserve"> натрия в течение как минимум 4 часов после спинальной/эпидуральной пункции или после удаления катетера. Отсрочка должна основываться на оценке пользы и риска, учитывая как риск тромбоза, так и риск кровотечения в контексте процедуры и факторов риска для пациента.</w:t>
      </w:r>
    </w:p>
    <w:p w14:paraId="4A3054A0" w14:textId="77777777" w:rsidR="003F6F17" w:rsidRPr="004E51D1" w:rsidRDefault="003F6F17" w:rsidP="000D73E2">
      <w:pPr>
        <w:tabs>
          <w:tab w:val="left" w:pos="567"/>
        </w:tabs>
        <w:jc w:val="both"/>
        <w:rPr>
          <w:rFonts w:eastAsia="Calibri"/>
          <w:sz w:val="28"/>
          <w:szCs w:val="28"/>
          <w:lang w:eastAsia="hu-HU"/>
        </w:rPr>
      </w:pPr>
    </w:p>
    <w:p w14:paraId="3B2B57BD" w14:textId="77777777" w:rsidR="00084A63" w:rsidRPr="004E51D1" w:rsidRDefault="00084A63" w:rsidP="00D80AD5">
      <w:pPr>
        <w:jc w:val="both"/>
        <w:rPr>
          <w:i/>
          <w:sz w:val="28"/>
          <w:szCs w:val="28"/>
          <w:lang w:eastAsia="en-US"/>
        </w:rPr>
      </w:pPr>
      <w:r w:rsidRPr="004E51D1">
        <w:rPr>
          <w:b/>
          <w:i/>
          <w:sz w:val="28"/>
          <w:szCs w:val="28"/>
          <w:lang w:eastAsia="en-US"/>
        </w:rPr>
        <w:t>Меры, которые необходимо принять в случае передозировки</w:t>
      </w:r>
      <w:r w:rsidRPr="004E51D1">
        <w:rPr>
          <w:i/>
          <w:sz w:val="28"/>
          <w:szCs w:val="28"/>
          <w:lang w:eastAsia="en-US"/>
        </w:rPr>
        <w:t xml:space="preserve"> </w:t>
      </w:r>
    </w:p>
    <w:p w14:paraId="08D1D0CB" w14:textId="77777777" w:rsidR="005770F9" w:rsidRPr="004E51D1" w:rsidRDefault="005770F9" w:rsidP="00D80AD5">
      <w:pPr>
        <w:autoSpaceDE w:val="0"/>
        <w:autoSpaceDN w:val="0"/>
        <w:adjustRightInd w:val="0"/>
        <w:jc w:val="both"/>
        <w:rPr>
          <w:b/>
          <w:i/>
          <w:sz w:val="28"/>
          <w:szCs w:val="28"/>
          <w:lang w:eastAsia="hu-HU"/>
        </w:rPr>
      </w:pPr>
      <w:bookmarkStart w:id="3" w:name="2175220278"/>
      <w:bookmarkEnd w:id="3"/>
      <w:r w:rsidRPr="004E51D1">
        <w:rPr>
          <w:i/>
          <w:sz w:val="28"/>
          <w:szCs w:val="28"/>
          <w:lang w:eastAsia="hu-HU"/>
        </w:rPr>
        <w:t>Симптомы:</w:t>
      </w:r>
      <w:r w:rsidRPr="004E51D1">
        <w:rPr>
          <w:sz w:val="28"/>
          <w:szCs w:val="28"/>
          <w:lang w:eastAsia="hu-HU"/>
        </w:rPr>
        <w:t xml:space="preserve"> случайная передозировка </w:t>
      </w:r>
      <w:proofErr w:type="spellStart"/>
      <w:r w:rsidRPr="004E51D1">
        <w:rPr>
          <w:sz w:val="28"/>
          <w:szCs w:val="28"/>
          <w:lang w:eastAsia="hu-HU"/>
        </w:rPr>
        <w:t>эноксапарином</w:t>
      </w:r>
      <w:proofErr w:type="spellEnd"/>
      <w:r w:rsidRPr="004E51D1">
        <w:rPr>
          <w:sz w:val="28"/>
          <w:szCs w:val="28"/>
          <w:lang w:eastAsia="hu-HU"/>
        </w:rPr>
        <w:t xml:space="preserve"> натрия после внутривенного, экстракорпорального или подкожного введения может привести к кровотечениям. При приеме внутрь даже больших доз всасывание </w:t>
      </w:r>
      <w:proofErr w:type="spellStart"/>
      <w:r w:rsidRPr="004E51D1">
        <w:rPr>
          <w:sz w:val="28"/>
          <w:szCs w:val="28"/>
          <w:lang w:eastAsia="hu-HU"/>
        </w:rPr>
        <w:t>эноксапарина</w:t>
      </w:r>
      <w:proofErr w:type="spellEnd"/>
      <w:r w:rsidRPr="004E51D1">
        <w:rPr>
          <w:sz w:val="28"/>
          <w:szCs w:val="28"/>
          <w:lang w:eastAsia="hu-HU"/>
        </w:rPr>
        <w:t xml:space="preserve"> натрия маловероятно.</w:t>
      </w:r>
    </w:p>
    <w:p w14:paraId="7443BB22" w14:textId="77777777" w:rsidR="005770F9" w:rsidRPr="004E51D1" w:rsidRDefault="005770F9" w:rsidP="00D80AD5">
      <w:pPr>
        <w:autoSpaceDE w:val="0"/>
        <w:autoSpaceDN w:val="0"/>
        <w:adjustRightInd w:val="0"/>
        <w:jc w:val="both"/>
        <w:rPr>
          <w:sz w:val="28"/>
          <w:szCs w:val="28"/>
          <w:lang w:eastAsia="hu-HU"/>
        </w:rPr>
      </w:pPr>
      <w:r w:rsidRPr="004E51D1">
        <w:rPr>
          <w:i/>
          <w:sz w:val="28"/>
          <w:szCs w:val="28"/>
          <w:lang w:eastAsia="hu-HU"/>
        </w:rPr>
        <w:t xml:space="preserve">Лечение: </w:t>
      </w:r>
      <w:r w:rsidRPr="004E51D1">
        <w:rPr>
          <w:sz w:val="28"/>
          <w:szCs w:val="28"/>
          <w:lang w:eastAsia="hu-HU"/>
        </w:rPr>
        <w:t xml:space="preserve">антикоагулянтный эффект можно существенно нейтрализовать посредством медленного внутривенного введения протамина сульфат. </w:t>
      </w:r>
    </w:p>
    <w:p w14:paraId="656EFAD0"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Требуемая доза протамина сульфата зависит от введенной дозы </w:t>
      </w:r>
      <w:proofErr w:type="spellStart"/>
      <w:r w:rsidRPr="004E51D1">
        <w:rPr>
          <w:color w:val="000000"/>
          <w:sz w:val="28"/>
          <w:szCs w:val="28"/>
        </w:rPr>
        <w:t>эноксапарина</w:t>
      </w:r>
      <w:proofErr w:type="spellEnd"/>
      <w:r w:rsidRPr="004E51D1">
        <w:rPr>
          <w:color w:val="000000"/>
          <w:sz w:val="28"/>
          <w:szCs w:val="28"/>
        </w:rPr>
        <w:t xml:space="preserve"> натрия:</w:t>
      </w:r>
    </w:p>
    <w:p w14:paraId="6D98FA51"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- 1 мг протамин сульфат нейтрализует антикоагулянтный эффект 100 МЕ (1 мг) </w:t>
      </w:r>
      <w:proofErr w:type="spellStart"/>
      <w:r w:rsidRPr="004E51D1">
        <w:rPr>
          <w:color w:val="000000"/>
          <w:sz w:val="28"/>
          <w:szCs w:val="28"/>
        </w:rPr>
        <w:t>эноксапарина</w:t>
      </w:r>
      <w:proofErr w:type="spellEnd"/>
      <w:r w:rsidRPr="004E51D1">
        <w:rPr>
          <w:color w:val="000000"/>
          <w:sz w:val="28"/>
          <w:szCs w:val="28"/>
        </w:rPr>
        <w:t xml:space="preserve"> натрия, при условии, что </w:t>
      </w:r>
      <w:proofErr w:type="spellStart"/>
      <w:r w:rsidRPr="004E51D1">
        <w:rPr>
          <w:color w:val="000000"/>
          <w:sz w:val="28"/>
          <w:szCs w:val="28"/>
        </w:rPr>
        <w:t>эноксапарин</w:t>
      </w:r>
      <w:proofErr w:type="spellEnd"/>
      <w:r w:rsidRPr="004E51D1">
        <w:rPr>
          <w:color w:val="000000"/>
          <w:sz w:val="28"/>
          <w:szCs w:val="28"/>
        </w:rPr>
        <w:t xml:space="preserve"> натрия был введен в течение предыдущих 8 часов </w:t>
      </w:r>
    </w:p>
    <w:p w14:paraId="20C7DFD4"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инфузия 0.5 мг протамина на 100 МЕ (1 мг) </w:t>
      </w:r>
      <w:proofErr w:type="spellStart"/>
      <w:r w:rsidRPr="004E51D1">
        <w:rPr>
          <w:color w:val="000000"/>
          <w:sz w:val="28"/>
          <w:szCs w:val="28"/>
        </w:rPr>
        <w:t>эноксапарина</w:t>
      </w:r>
      <w:proofErr w:type="spellEnd"/>
      <w:r w:rsidRPr="004E51D1">
        <w:rPr>
          <w:color w:val="000000"/>
          <w:sz w:val="28"/>
          <w:szCs w:val="28"/>
        </w:rPr>
        <w:t xml:space="preserve"> натрия может быть введена, если </w:t>
      </w:r>
      <w:proofErr w:type="spellStart"/>
      <w:r w:rsidRPr="004E51D1">
        <w:rPr>
          <w:color w:val="000000"/>
          <w:sz w:val="28"/>
          <w:szCs w:val="28"/>
        </w:rPr>
        <w:t>эноксапарин</w:t>
      </w:r>
      <w:proofErr w:type="spellEnd"/>
      <w:r w:rsidRPr="004E51D1">
        <w:rPr>
          <w:color w:val="000000"/>
          <w:sz w:val="28"/>
          <w:szCs w:val="28"/>
        </w:rPr>
        <w:t xml:space="preserve"> натрия был введен более 8 часов назад до введения протамина или если было установлено, что требуется вторая доза протамина</w:t>
      </w:r>
    </w:p>
    <w:p w14:paraId="2EE278CC" w14:textId="77777777" w:rsidR="005770F9" w:rsidRPr="004E51D1" w:rsidRDefault="005770F9" w:rsidP="00D80AD5">
      <w:pPr>
        <w:autoSpaceDE w:val="0"/>
        <w:autoSpaceDN w:val="0"/>
        <w:adjustRightInd w:val="0"/>
        <w:jc w:val="both"/>
        <w:rPr>
          <w:color w:val="000000"/>
          <w:sz w:val="28"/>
          <w:szCs w:val="28"/>
        </w:rPr>
      </w:pPr>
      <w:r w:rsidRPr="004E51D1">
        <w:rPr>
          <w:color w:val="000000"/>
          <w:sz w:val="28"/>
          <w:szCs w:val="28"/>
        </w:rPr>
        <w:t xml:space="preserve">- через 12 часов после инъекции </w:t>
      </w:r>
      <w:proofErr w:type="spellStart"/>
      <w:r w:rsidRPr="004E51D1">
        <w:rPr>
          <w:color w:val="000000"/>
          <w:sz w:val="28"/>
          <w:szCs w:val="28"/>
        </w:rPr>
        <w:t>эноксапарина</w:t>
      </w:r>
      <w:proofErr w:type="spellEnd"/>
      <w:r w:rsidRPr="004E51D1">
        <w:rPr>
          <w:color w:val="000000"/>
          <w:sz w:val="28"/>
          <w:szCs w:val="28"/>
        </w:rPr>
        <w:t xml:space="preserve"> натрия введение протамина может не потребоваться.</w:t>
      </w:r>
    </w:p>
    <w:p w14:paraId="4140E71A" w14:textId="77777777" w:rsidR="005770F9" w:rsidRPr="004E51D1" w:rsidRDefault="005770F9" w:rsidP="00D80AD5">
      <w:pPr>
        <w:jc w:val="both"/>
        <w:rPr>
          <w:sz w:val="28"/>
          <w:szCs w:val="28"/>
          <w:lang w:eastAsia="hu-HU"/>
        </w:rPr>
      </w:pPr>
      <w:r w:rsidRPr="004E51D1">
        <w:rPr>
          <w:sz w:val="28"/>
          <w:szCs w:val="28"/>
          <w:lang w:eastAsia="hu-HU"/>
        </w:rPr>
        <w:t>Однако, даже при высоких дозах протамина, анти-</w:t>
      </w:r>
      <w:proofErr w:type="spellStart"/>
      <w:r w:rsidRPr="004E51D1">
        <w:rPr>
          <w:sz w:val="28"/>
          <w:szCs w:val="28"/>
          <w:lang w:eastAsia="hu-HU"/>
        </w:rPr>
        <w:t>Xa</w:t>
      </w:r>
      <w:proofErr w:type="spellEnd"/>
      <w:r w:rsidRPr="004E51D1">
        <w:rPr>
          <w:sz w:val="28"/>
          <w:szCs w:val="28"/>
          <w:lang w:eastAsia="hu-HU"/>
        </w:rPr>
        <w:t xml:space="preserve"> активность </w:t>
      </w:r>
      <w:proofErr w:type="spellStart"/>
      <w:r w:rsidRPr="004E51D1">
        <w:rPr>
          <w:sz w:val="28"/>
          <w:szCs w:val="28"/>
          <w:lang w:eastAsia="hu-HU"/>
        </w:rPr>
        <w:t>эноксапарина</w:t>
      </w:r>
      <w:proofErr w:type="spellEnd"/>
      <w:r w:rsidRPr="004E51D1">
        <w:rPr>
          <w:sz w:val="28"/>
          <w:szCs w:val="28"/>
          <w:lang w:eastAsia="hu-HU"/>
        </w:rPr>
        <w:t xml:space="preserve"> натрия никогда не нейтрализуется полностью (максимум около 60%).</w:t>
      </w:r>
    </w:p>
    <w:p w14:paraId="71EEA4BD" w14:textId="77777777" w:rsidR="00726CCF" w:rsidRPr="004E51D1" w:rsidRDefault="00726CCF" w:rsidP="00D80AD5">
      <w:pPr>
        <w:jc w:val="both"/>
        <w:rPr>
          <w:sz w:val="28"/>
          <w:szCs w:val="28"/>
          <w:lang w:eastAsia="en-US"/>
        </w:rPr>
      </w:pPr>
    </w:p>
    <w:p w14:paraId="6B32CDC2" w14:textId="77777777" w:rsidR="00B13903" w:rsidRPr="004E51D1" w:rsidRDefault="00B13903" w:rsidP="00D80AD5">
      <w:pPr>
        <w:jc w:val="both"/>
        <w:rPr>
          <w:sz w:val="28"/>
          <w:szCs w:val="28"/>
          <w:lang w:eastAsia="en-US"/>
        </w:rPr>
      </w:pPr>
      <w:r w:rsidRPr="004E51D1">
        <w:rPr>
          <w:b/>
          <w:sz w:val="28"/>
          <w:szCs w:val="28"/>
          <w:lang w:eastAsia="en-US"/>
        </w:rPr>
        <w:t>Описание нежелательных реакций, которые проявляются при стандартном применении ЛП и меры, которые следует принять в этом случае</w:t>
      </w:r>
    </w:p>
    <w:p w14:paraId="170C8949" w14:textId="77777777" w:rsidR="00F81FA4" w:rsidRPr="004E51D1" w:rsidRDefault="00F81FA4" w:rsidP="00F81FA4">
      <w:pPr>
        <w:jc w:val="both"/>
        <w:rPr>
          <w:rFonts w:eastAsia="TimesNewRomanPSMT"/>
          <w:color w:val="000000"/>
          <w:sz w:val="28"/>
          <w:szCs w:val="28"/>
        </w:rPr>
      </w:pP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оценивался у более чем 15 000 пациентов, которые получили </w:t>
      </w: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в клинических испытаниях. Из них 1776 для профилактики тромбоза глубоких вен после ортопедических или абдоминальных операций у пациентов с риском тромбоэмболических осложнений, 1169 для профилактики тромбоза глубоких вен у остро больных терапевтических пациентов с серьезно ограниченной подвижностью, 559 для лечения тромбоза глубоких вен с или без ТЭЛА, 1578 для лечения нестабильной стенокардии и инфаркта миокарда без </w:t>
      </w:r>
      <w:r w:rsidRPr="004E51D1">
        <w:rPr>
          <w:rFonts w:eastAsia="TimesNewRomanPSMT"/>
          <w:color w:val="000000"/>
          <w:sz w:val="28"/>
          <w:szCs w:val="28"/>
        </w:rPr>
        <w:lastRenderedPageBreak/>
        <w:t>зубца Q и 10 176 для лечения острого инфаркта миокарда с подъемом сегмента ST.</w:t>
      </w:r>
    </w:p>
    <w:p w14:paraId="56FB6818"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Режим введения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в ходе этих клинических испытаний различается в зависимости от показаний. Доза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составляла 4000 МЕ (40 мг) подкожно один раз в день для профилактики тромбоза глубоких вен после операции или у остро больных пациентов с сильно ограниченной подвижностью. При лечении тромбоза глубоких вен с тромбоэмболией легочной артерии или без нее пациенты, получавшие </w:t>
      </w:r>
      <w:proofErr w:type="spellStart"/>
      <w:r w:rsidRPr="004E51D1">
        <w:rPr>
          <w:rFonts w:eastAsia="TimesNewRomanPSMT"/>
          <w:color w:val="000000"/>
          <w:sz w:val="28"/>
          <w:szCs w:val="28"/>
        </w:rPr>
        <w:t>эноксапарин</w:t>
      </w:r>
      <w:proofErr w:type="spellEnd"/>
      <w:r w:rsidRPr="004E51D1">
        <w:rPr>
          <w:rFonts w:eastAsia="TimesNewRomanPSMT"/>
          <w:color w:val="000000"/>
          <w:sz w:val="28"/>
          <w:szCs w:val="28"/>
        </w:rPr>
        <w:t xml:space="preserve"> натрия, получали либо дозу 100 МЕ/кг (1 мг/кг) подкожно каждые 12 часов, либо дозу 150 МЕ/кг (1,5 мг/кг) подкожно один раз в день. В клинических исследованиях для лечения нестабильной стенокардии и инфаркта миокарда без зубца Q дозы составляли 100 МЕ/кг (1 мг/кг) подкожно каждые 12 часов, а в клиническом исследовании для лечения острого инфаркта миокарда с подъемом сегмента ST схема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натрия представляла собой внутривенный болюс 3000 МЕ (30 мг) с последующим введением 100 МЕ/кг (1 мг/кг) подкожно каждые 12 часов.</w:t>
      </w:r>
    </w:p>
    <w:p w14:paraId="05D551DD"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В клинических исследованиях наиболее часто сообщалось о таких реакциях, как кровотечения, тромбоцитопения и тромбоцитоз</w:t>
      </w:r>
      <w:r w:rsidR="008C3E6C" w:rsidRPr="004E51D1">
        <w:rPr>
          <w:rFonts w:eastAsia="TimesNewRomanPSMT"/>
          <w:color w:val="000000"/>
          <w:sz w:val="28"/>
          <w:szCs w:val="28"/>
        </w:rPr>
        <w:t>.</w:t>
      </w:r>
    </w:p>
    <w:p w14:paraId="63B24966"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Профиль безопасности </w:t>
      </w:r>
      <w:proofErr w:type="spellStart"/>
      <w:r w:rsidRPr="004E51D1">
        <w:rPr>
          <w:rFonts w:eastAsia="TimesNewRomanPSMT"/>
          <w:color w:val="000000"/>
          <w:sz w:val="28"/>
          <w:szCs w:val="28"/>
        </w:rPr>
        <w:t>эноксапарина</w:t>
      </w:r>
      <w:proofErr w:type="spellEnd"/>
      <w:r w:rsidRPr="004E51D1">
        <w:rPr>
          <w:rFonts w:eastAsia="TimesNewRomanPSMT"/>
          <w:color w:val="000000"/>
          <w:sz w:val="28"/>
          <w:szCs w:val="28"/>
        </w:rPr>
        <w:t xml:space="preserve"> для длительного лечения тромбоза глубоких вен и тромбоэмболии легочной артерии у пациентов с активным раком аналогичен его профилю безопасности для лечения тромбоза глубоких вен и тромбоэмболии легочной артерии.</w:t>
      </w:r>
    </w:p>
    <w:p w14:paraId="49B6BE26"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 xml:space="preserve">Острый генерализованный </w:t>
      </w:r>
      <w:proofErr w:type="spellStart"/>
      <w:r w:rsidRPr="004E51D1">
        <w:rPr>
          <w:rFonts w:eastAsia="TimesNewRomanPSMT"/>
          <w:color w:val="000000"/>
          <w:sz w:val="28"/>
          <w:szCs w:val="28"/>
        </w:rPr>
        <w:t>экзантематозный</w:t>
      </w:r>
      <w:proofErr w:type="spellEnd"/>
      <w:r w:rsidRPr="004E51D1">
        <w:rPr>
          <w:rFonts w:eastAsia="TimesNewRomanPSMT"/>
          <w:color w:val="000000"/>
          <w:sz w:val="28"/>
          <w:szCs w:val="28"/>
        </w:rPr>
        <w:t xml:space="preserve"> </w:t>
      </w:r>
      <w:proofErr w:type="spellStart"/>
      <w:r w:rsidRPr="004E51D1">
        <w:rPr>
          <w:rFonts w:eastAsia="TimesNewRomanPSMT"/>
          <w:color w:val="000000"/>
          <w:sz w:val="28"/>
          <w:szCs w:val="28"/>
        </w:rPr>
        <w:t>пустулез</w:t>
      </w:r>
      <w:proofErr w:type="spellEnd"/>
      <w:r w:rsidRPr="004E51D1">
        <w:rPr>
          <w:rFonts w:eastAsia="TimesNewRomanPSMT"/>
          <w:color w:val="000000"/>
          <w:sz w:val="28"/>
          <w:szCs w:val="28"/>
        </w:rPr>
        <w:t xml:space="preserve"> (AGEP) был зарегистрирован во время лечения </w:t>
      </w:r>
      <w:proofErr w:type="spellStart"/>
      <w:r w:rsidRPr="004E51D1">
        <w:rPr>
          <w:rFonts w:eastAsia="TimesNewRomanPSMT"/>
          <w:color w:val="000000"/>
          <w:sz w:val="28"/>
          <w:szCs w:val="28"/>
        </w:rPr>
        <w:t>эноксапарином</w:t>
      </w:r>
      <w:proofErr w:type="spellEnd"/>
      <w:r w:rsidRPr="004E51D1">
        <w:rPr>
          <w:rFonts w:eastAsia="TimesNewRomanPSMT"/>
          <w:color w:val="000000"/>
          <w:sz w:val="28"/>
          <w:szCs w:val="28"/>
        </w:rPr>
        <w:t>.</w:t>
      </w:r>
    </w:p>
    <w:p w14:paraId="02A98775" w14:textId="77777777" w:rsidR="00F81FA4" w:rsidRPr="004E51D1" w:rsidRDefault="00F81FA4" w:rsidP="00F81FA4">
      <w:pPr>
        <w:jc w:val="both"/>
        <w:rPr>
          <w:rFonts w:eastAsia="TimesNewRomanPSMT"/>
          <w:i/>
          <w:iCs/>
          <w:color w:val="000000"/>
          <w:sz w:val="28"/>
          <w:szCs w:val="28"/>
        </w:rPr>
      </w:pPr>
      <w:r w:rsidRPr="004E51D1">
        <w:rPr>
          <w:rFonts w:eastAsia="TimesNewRomanPSMT"/>
          <w:i/>
          <w:iCs/>
          <w:color w:val="000000"/>
          <w:sz w:val="28"/>
          <w:szCs w:val="28"/>
        </w:rPr>
        <w:t>Табличный список нежелательных реакций</w:t>
      </w:r>
    </w:p>
    <w:p w14:paraId="3CBE4A34" w14:textId="77777777" w:rsidR="00F81FA4" w:rsidRPr="004E51D1" w:rsidRDefault="00F81FA4" w:rsidP="00F81FA4">
      <w:pPr>
        <w:jc w:val="both"/>
        <w:rPr>
          <w:rFonts w:eastAsia="TimesNewRomanPSMT"/>
          <w:color w:val="000000"/>
          <w:sz w:val="28"/>
          <w:szCs w:val="28"/>
        </w:rPr>
      </w:pPr>
      <w:r w:rsidRPr="004E51D1">
        <w:rPr>
          <w:rFonts w:eastAsia="TimesNewRomanPSMT"/>
          <w:color w:val="000000"/>
          <w:sz w:val="28"/>
          <w:szCs w:val="28"/>
        </w:rPr>
        <w:t>Частота возникновения случаев: очень часто (≥1/10), часто (≥ 1/100 &lt;1/10), нечасто (≥ 1/1000 &lt;1/100), редко (≥ 1/10000 &lt;1/1000), очень редко (&lt;1/10000), неизвестно (частота не может быть определена из имеющихся данных).</w:t>
      </w:r>
    </w:p>
    <w:p w14:paraId="6B31774B"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lang w:val="kk-KZ"/>
        </w:rPr>
        <w:t>Нарушения со стороны крови и лимфатической системы</w:t>
      </w:r>
    </w:p>
    <w:p w14:paraId="63BA773F"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037DA799"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кровотечение, геморрагическая анемия*, тромбоцитопения, тромбоцитоз</w:t>
      </w:r>
    </w:p>
    <w:p w14:paraId="069347CA"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5B35D47E"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w:t>
      </w:r>
      <w:proofErr w:type="spellStart"/>
      <w:r w:rsidRPr="004E51D1">
        <w:rPr>
          <w:rFonts w:eastAsia="TimesNewRomanPSMT"/>
          <w:bCs/>
          <w:color w:val="000000"/>
          <w:sz w:val="28"/>
          <w:szCs w:val="28"/>
        </w:rPr>
        <w:t>эозинофилия</w:t>
      </w:r>
      <w:proofErr w:type="spellEnd"/>
      <w:r w:rsidRPr="004E51D1">
        <w:rPr>
          <w:rFonts w:eastAsia="TimesNewRomanPSMT"/>
          <w:bCs/>
          <w:color w:val="000000"/>
          <w:sz w:val="28"/>
          <w:szCs w:val="28"/>
        </w:rPr>
        <w:t>*, случаи иммуноаллергической тромбоцитопении с тромбозом; в некоторых случаях тромбоз осложнялся инфарктом внутренних органов или ишемией конечностей</w:t>
      </w:r>
      <w:r w:rsidR="008C3E6C" w:rsidRPr="004E51D1">
        <w:rPr>
          <w:rFonts w:eastAsia="TimesNewRomanPSMT"/>
          <w:bCs/>
          <w:color w:val="000000"/>
          <w:sz w:val="28"/>
          <w:szCs w:val="28"/>
        </w:rPr>
        <w:t>.</w:t>
      </w:r>
    </w:p>
    <w:p w14:paraId="3B25C3E2"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иммунной системы</w:t>
      </w:r>
    </w:p>
    <w:p w14:paraId="32D89456"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39BF7BE9"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аллергическая реакция</w:t>
      </w:r>
    </w:p>
    <w:p w14:paraId="02017D3A"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r w:rsidRPr="004E51D1">
        <w:rPr>
          <w:rFonts w:eastAsia="TimesNewRomanPSMT"/>
          <w:bCs/>
          <w:i/>
          <w:color w:val="000000"/>
          <w:sz w:val="28"/>
          <w:szCs w:val="28"/>
        </w:rPr>
        <w:tab/>
      </w:r>
    </w:p>
    <w:p w14:paraId="0E2DDCE9"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анафилактические/</w:t>
      </w:r>
      <w:proofErr w:type="spellStart"/>
      <w:r w:rsidRPr="004E51D1">
        <w:rPr>
          <w:rFonts w:eastAsia="TimesNewRomanPSMT"/>
          <w:bCs/>
          <w:color w:val="000000"/>
          <w:sz w:val="28"/>
          <w:szCs w:val="28"/>
        </w:rPr>
        <w:t>анафилактоидные</w:t>
      </w:r>
      <w:proofErr w:type="spellEnd"/>
      <w:r w:rsidRPr="004E51D1">
        <w:rPr>
          <w:rFonts w:eastAsia="TimesNewRomanPSMT"/>
          <w:bCs/>
          <w:color w:val="000000"/>
          <w:sz w:val="28"/>
          <w:szCs w:val="28"/>
        </w:rPr>
        <w:t xml:space="preserve"> реакции, включая шок*</w:t>
      </w:r>
    </w:p>
    <w:p w14:paraId="10808B06"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нервной системы</w:t>
      </w:r>
    </w:p>
    <w:p w14:paraId="2E622E63"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079A5134"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lastRenderedPageBreak/>
        <w:t>- головная боль*</w:t>
      </w:r>
    </w:p>
    <w:p w14:paraId="4629E513"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сосудов</w:t>
      </w:r>
    </w:p>
    <w:p w14:paraId="5045D1AF"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218A00DD"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спинальная гематома* (или </w:t>
      </w:r>
      <w:proofErr w:type="spellStart"/>
      <w:r w:rsidRPr="004E51D1">
        <w:rPr>
          <w:rFonts w:eastAsia="TimesNewRomanPSMT"/>
          <w:bCs/>
          <w:color w:val="000000"/>
          <w:sz w:val="28"/>
          <w:szCs w:val="28"/>
        </w:rPr>
        <w:t>нейроаксиальная</w:t>
      </w:r>
      <w:proofErr w:type="spellEnd"/>
      <w:r w:rsidRPr="004E51D1">
        <w:rPr>
          <w:rFonts w:eastAsia="TimesNewRomanPSMT"/>
          <w:bCs/>
          <w:color w:val="000000"/>
          <w:sz w:val="28"/>
          <w:szCs w:val="28"/>
        </w:rPr>
        <w:t xml:space="preserve"> гематома), что может привести к развитию неврологических нарушений различной степени тяжести, включая стойкий или необратимый паралич.</w:t>
      </w:r>
    </w:p>
    <w:p w14:paraId="464FF367"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печени и желчевыводящих путей</w:t>
      </w:r>
    </w:p>
    <w:p w14:paraId="04399D73"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Очень часто</w:t>
      </w:r>
    </w:p>
    <w:p w14:paraId="3159EEE3"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увеличение количества энзимов печени (главным образом, трансаминаз в 3 раза больше верхней границы нормы)</w:t>
      </w:r>
    </w:p>
    <w:p w14:paraId="622E5773"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p>
    <w:p w14:paraId="26DDC094"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гепатоцеллюлярное поражение печени*</w:t>
      </w:r>
    </w:p>
    <w:p w14:paraId="2431B387"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21C0F9A4"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холестатическое поражение печени*</w:t>
      </w:r>
    </w:p>
    <w:p w14:paraId="0335D9E1" w14:textId="77777777" w:rsidR="00F81FA4" w:rsidRPr="004E51D1" w:rsidRDefault="00F81FA4" w:rsidP="00F81FA4">
      <w:pPr>
        <w:jc w:val="both"/>
        <w:rPr>
          <w:rFonts w:eastAsia="TimesNewRomanPSMT"/>
          <w:b/>
          <w:bCs/>
          <w:i/>
          <w:color w:val="000000"/>
          <w:sz w:val="28"/>
          <w:szCs w:val="28"/>
          <w:lang w:val="kk-KZ"/>
        </w:rPr>
      </w:pPr>
      <w:r w:rsidRPr="004E51D1">
        <w:rPr>
          <w:rFonts w:eastAsia="TimesNewRomanPSMT"/>
          <w:b/>
          <w:bCs/>
          <w:i/>
          <w:color w:val="000000"/>
          <w:sz w:val="28"/>
          <w:szCs w:val="28"/>
          <w:lang w:val="kk-KZ"/>
        </w:rPr>
        <w:t>Нарушения со стороны кожи и подкожных тканей</w:t>
      </w:r>
    </w:p>
    <w:p w14:paraId="43F44349"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0CC62A5B"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крапивница, зуд, эритема</w:t>
      </w:r>
    </w:p>
    <w:p w14:paraId="29539F94"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r w:rsidRPr="004E51D1">
        <w:rPr>
          <w:rFonts w:eastAsia="TimesNewRomanPSMT"/>
          <w:bCs/>
          <w:i/>
          <w:color w:val="000000"/>
          <w:sz w:val="28"/>
          <w:szCs w:val="28"/>
        </w:rPr>
        <w:tab/>
      </w:r>
    </w:p>
    <w:p w14:paraId="081DC54A"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буллезный дерматит  </w:t>
      </w:r>
    </w:p>
    <w:p w14:paraId="79265729"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4EEAB156"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алопеция*, кожный васкулит*, некроз кожи*, обычно возникающий в месте инъекции (этим явлениям обычно предшествовали пурпура или </w:t>
      </w:r>
      <w:proofErr w:type="spellStart"/>
      <w:r w:rsidRPr="004E51D1">
        <w:rPr>
          <w:rFonts w:eastAsia="TimesNewRomanPSMT"/>
          <w:bCs/>
          <w:color w:val="000000"/>
          <w:sz w:val="28"/>
          <w:szCs w:val="28"/>
        </w:rPr>
        <w:t>эритематозные</w:t>
      </w:r>
      <w:proofErr w:type="spellEnd"/>
      <w:r w:rsidRPr="004E51D1">
        <w:rPr>
          <w:rFonts w:eastAsia="TimesNewRomanPSMT"/>
          <w:bCs/>
          <w:color w:val="000000"/>
          <w:sz w:val="28"/>
          <w:szCs w:val="28"/>
        </w:rPr>
        <w:t xml:space="preserve"> бляшки, </w:t>
      </w:r>
      <w:proofErr w:type="spellStart"/>
      <w:r w:rsidRPr="004E51D1">
        <w:rPr>
          <w:rFonts w:eastAsia="TimesNewRomanPSMT"/>
          <w:bCs/>
          <w:color w:val="000000"/>
          <w:sz w:val="28"/>
          <w:szCs w:val="28"/>
        </w:rPr>
        <w:t>инфильтрованные</w:t>
      </w:r>
      <w:proofErr w:type="spellEnd"/>
      <w:r w:rsidRPr="004E51D1">
        <w:rPr>
          <w:rFonts w:eastAsia="TimesNewRomanPSMT"/>
          <w:bCs/>
          <w:color w:val="000000"/>
          <w:sz w:val="28"/>
          <w:szCs w:val="28"/>
        </w:rPr>
        <w:t xml:space="preserve"> и болезненные), узелки в месте инъекций препарата* (воспалительные узелки, не являющиеся </w:t>
      </w:r>
      <w:proofErr w:type="spellStart"/>
      <w:r w:rsidRPr="004E51D1">
        <w:rPr>
          <w:rFonts w:eastAsia="TimesNewRomanPSMT"/>
          <w:bCs/>
          <w:color w:val="000000"/>
          <w:sz w:val="28"/>
          <w:szCs w:val="28"/>
        </w:rPr>
        <w:t>кистовидной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капсуляцией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эноксапарина</w:t>
      </w:r>
      <w:proofErr w:type="spellEnd"/>
      <w:r w:rsidRPr="004E51D1">
        <w:rPr>
          <w:rFonts w:eastAsia="TimesNewRomanPSMT"/>
          <w:bCs/>
          <w:color w:val="000000"/>
          <w:sz w:val="28"/>
          <w:szCs w:val="28"/>
        </w:rPr>
        <w:t xml:space="preserve">), которые исчезают через несколько дней и не являются основанием для отмены препарата </w:t>
      </w:r>
    </w:p>
    <w:p w14:paraId="1CA20A62" w14:textId="77777777" w:rsidR="000F1804" w:rsidRPr="004E51D1" w:rsidRDefault="000F1804" w:rsidP="000F1804">
      <w:pPr>
        <w:jc w:val="both"/>
        <w:rPr>
          <w:rFonts w:eastAsia="TimesNewRomanPSMT"/>
          <w:bCs/>
          <w:i/>
          <w:iCs/>
          <w:color w:val="000000"/>
          <w:sz w:val="28"/>
          <w:szCs w:val="28"/>
        </w:rPr>
      </w:pPr>
      <w:r w:rsidRPr="004E51D1">
        <w:rPr>
          <w:rFonts w:eastAsia="TimesNewRomanPSMT"/>
          <w:bCs/>
          <w:i/>
          <w:iCs/>
          <w:color w:val="000000"/>
          <w:sz w:val="28"/>
          <w:szCs w:val="28"/>
        </w:rPr>
        <w:t>Неизвестно</w:t>
      </w:r>
    </w:p>
    <w:p w14:paraId="0F7518C9" w14:textId="77777777" w:rsidR="000F1804" w:rsidRPr="004E51D1" w:rsidRDefault="000F1804" w:rsidP="00F81FA4">
      <w:pPr>
        <w:jc w:val="both"/>
        <w:rPr>
          <w:rFonts w:eastAsia="TimesNewRomanPSMT"/>
          <w:bCs/>
          <w:color w:val="000000"/>
          <w:sz w:val="28"/>
          <w:szCs w:val="28"/>
        </w:rPr>
      </w:pPr>
      <w:r w:rsidRPr="004E51D1">
        <w:rPr>
          <w:rFonts w:eastAsia="TimesNewRomanPSMT"/>
          <w:bCs/>
          <w:color w:val="000000"/>
          <w:sz w:val="28"/>
          <w:szCs w:val="28"/>
        </w:rPr>
        <w:t xml:space="preserve">- острый генерализованный </w:t>
      </w:r>
      <w:proofErr w:type="spellStart"/>
      <w:r w:rsidRPr="004E51D1">
        <w:rPr>
          <w:rFonts w:eastAsia="TimesNewRomanPSMT"/>
          <w:bCs/>
          <w:color w:val="000000"/>
          <w:sz w:val="28"/>
          <w:szCs w:val="28"/>
        </w:rPr>
        <w:t>экзантематозный</w:t>
      </w:r>
      <w:proofErr w:type="spellEnd"/>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пустулез</w:t>
      </w:r>
      <w:proofErr w:type="spellEnd"/>
      <w:r w:rsidRPr="004E51D1">
        <w:rPr>
          <w:rFonts w:eastAsia="TimesNewRomanPSMT"/>
          <w:bCs/>
          <w:color w:val="000000"/>
          <w:sz w:val="28"/>
          <w:szCs w:val="28"/>
        </w:rPr>
        <w:t xml:space="preserve"> (</w:t>
      </w:r>
      <w:r w:rsidRPr="004E51D1">
        <w:rPr>
          <w:rFonts w:eastAsia="TimesNewRomanPSMT"/>
          <w:bCs/>
          <w:color w:val="000000"/>
          <w:sz w:val="28"/>
          <w:szCs w:val="28"/>
          <w:lang w:val="en-US"/>
        </w:rPr>
        <w:t>AGEP</w:t>
      </w:r>
      <w:r w:rsidRPr="004E51D1">
        <w:rPr>
          <w:rFonts w:eastAsia="TimesNewRomanPSMT"/>
          <w:bCs/>
          <w:color w:val="000000"/>
          <w:sz w:val="28"/>
          <w:szCs w:val="28"/>
        </w:rPr>
        <w:t>)</w:t>
      </w:r>
    </w:p>
    <w:p w14:paraId="1A449FED" w14:textId="77777777" w:rsidR="00F81FA4" w:rsidRPr="004E51D1" w:rsidRDefault="00F81FA4" w:rsidP="00F81FA4">
      <w:pPr>
        <w:jc w:val="both"/>
        <w:rPr>
          <w:rFonts w:eastAsia="TimesNewRomanPSMT"/>
          <w:bCs/>
          <w:i/>
          <w:color w:val="000000"/>
          <w:sz w:val="28"/>
          <w:szCs w:val="28"/>
        </w:rPr>
      </w:pPr>
      <w:r w:rsidRPr="004E51D1">
        <w:rPr>
          <w:rFonts w:eastAsia="TimesNewRomanPSMT"/>
          <w:b/>
          <w:bCs/>
          <w:i/>
          <w:color w:val="000000"/>
          <w:sz w:val="28"/>
          <w:szCs w:val="28"/>
          <w:lang w:val="kk-KZ"/>
        </w:rPr>
        <w:t>Нарушения со стороны скелетно мышечной и соединительной ткани</w:t>
      </w:r>
    </w:p>
    <w:p w14:paraId="55B816D2"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12505A52"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остеопороз* после длительной терапии (более 3 месяцев)</w:t>
      </w:r>
    </w:p>
    <w:p w14:paraId="2FA5C213"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Общее нарушение и реакции в месте введения</w:t>
      </w:r>
    </w:p>
    <w:p w14:paraId="051314EB"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Часто</w:t>
      </w:r>
    </w:p>
    <w:p w14:paraId="48162FD2" w14:textId="77777777" w:rsidR="00F81FA4" w:rsidRPr="004E51D1" w:rsidRDefault="00F81FA4" w:rsidP="00F81FA4">
      <w:pPr>
        <w:jc w:val="both"/>
        <w:rPr>
          <w:rFonts w:eastAsia="TimesNewRomanPSMT"/>
          <w:color w:val="000000"/>
          <w:sz w:val="28"/>
          <w:szCs w:val="28"/>
        </w:rPr>
      </w:pPr>
      <w:r w:rsidRPr="004E51D1">
        <w:rPr>
          <w:rFonts w:eastAsia="TimesNewRomanPSMT"/>
          <w:bCs/>
          <w:color w:val="000000"/>
          <w:sz w:val="28"/>
          <w:szCs w:val="28"/>
        </w:rPr>
        <w:t>- гематомы в месте инъекции, боль в месте инъекции, другая реакция в месте инъекции (отек, кровотечения, повышенная чувствительность, воспаления, образования, боль или реакция в месте инъекции)</w:t>
      </w:r>
    </w:p>
    <w:p w14:paraId="16356AD3"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Нечасто</w:t>
      </w:r>
      <w:r w:rsidRPr="004E51D1">
        <w:rPr>
          <w:rFonts w:eastAsia="TimesNewRomanPSMT"/>
          <w:bCs/>
          <w:i/>
          <w:color w:val="000000"/>
          <w:sz w:val="28"/>
          <w:szCs w:val="28"/>
        </w:rPr>
        <w:tab/>
      </w:r>
      <w:r w:rsidRPr="004E51D1">
        <w:rPr>
          <w:rFonts w:eastAsia="TimesNewRomanPSMT"/>
          <w:bCs/>
          <w:i/>
          <w:color w:val="000000"/>
          <w:sz w:val="28"/>
          <w:szCs w:val="28"/>
        </w:rPr>
        <w:tab/>
      </w:r>
    </w:p>
    <w:p w14:paraId="1A4FEAD5" w14:textId="77777777" w:rsidR="00F81FA4" w:rsidRPr="004E51D1" w:rsidRDefault="00F81FA4" w:rsidP="00F81FA4">
      <w:pPr>
        <w:jc w:val="both"/>
        <w:rPr>
          <w:rFonts w:eastAsia="TimesNewRomanPSMT"/>
          <w:bCs/>
          <w:i/>
          <w:color w:val="000000"/>
          <w:sz w:val="28"/>
          <w:szCs w:val="28"/>
        </w:rPr>
      </w:pPr>
      <w:r w:rsidRPr="004E51D1">
        <w:rPr>
          <w:rFonts w:eastAsia="TimesNewRomanPSMT"/>
          <w:bCs/>
          <w:color w:val="000000"/>
          <w:sz w:val="28"/>
          <w:szCs w:val="28"/>
        </w:rPr>
        <w:t>- местное раздражение, некроз кожи в месте инъекции</w:t>
      </w:r>
    </w:p>
    <w:p w14:paraId="06F0C07A"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Лабораторные данные</w:t>
      </w:r>
    </w:p>
    <w:p w14:paraId="5D14CCA7" w14:textId="77777777" w:rsidR="00F81FA4" w:rsidRPr="004E51D1" w:rsidRDefault="00F81FA4" w:rsidP="00F81FA4">
      <w:pPr>
        <w:jc w:val="both"/>
        <w:rPr>
          <w:rFonts w:eastAsia="TimesNewRomanPSMT"/>
          <w:bCs/>
          <w:i/>
          <w:color w:val="000000"/>
          <w:sz w:val="28"/>
          <w:szCs w:val="28"/>
        </w:rPr>
      </w:pPr>
      <w:r w:rsidRPr="004E51D1">
        <w:rPr>
          <w:rFonts w:eastAsia="TimesNewRomanPSMT"/>
          <w:bCs/>
          <w:i/>
          <w:color w:val="000000"/>
          <w:sz w:val="28"/>
          <w:szCs w:val="28"/>
        </w:rPr>
        <w:t>Редко</w:t>
      </w:r>
    </w:p>
    <w:p w14:paraId="01FC15B0"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w:t>
      </w:r>
      <w:proofErr w:type="spellStart"/>
      <w:r w:rsidRPr="004E51D1">
        <w:rPr>
          <w:rFonts w:eastAsia="TimesNewRomanPSMT"/>
          <w:bCs/>
          <w:color w:val="000000"/>
          <w:sz w:val="28"/>
          <w:szCs w:val="28"/>
        </w:rPr>
        <w:t>гиперкалиемия</w:t>
      </w:r>
      <w:proofErr w:type="spellEnd"/>
      <w:r w:rsidRPr="004E51D1">
        <w:rPr>
          <w:rFonts w:eastAsia="TimesNewRomanPSMT"/>
          <w:bCs/>
          <w:color w:val="000000"/>
          <w:sz w:val="28"/>
          <w:szCs w:val="28"/>
        </w:rPr>
        <w:t>*</w:t>
      </w:r>
    </w:p>
    <w:p w14:paraId="3ED8AD72"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Описание некоторых нежелательных реакций</w:t>
      </w:r>
    </w:p>
    <w:p w14:paraId="1982C436" w14:textId="77777777" w:rsidR="00F81FA4" w:rsidRPr="004E51D1" w:rsidRDefault="00F81FA4" w:rsidP="00F81FA4">
      <w:pPr>
        <w:jc w:val="both"/>
        <w:rPr>
          <w:rFonts w:eastAsia="TimesNewRomanPSMT"/>
          <w:b/>
          <w:bCs/>
          <w:i/>
          <w:color w:val="000000"/>
          <w:sz w:val="28"/>
          <w:szCs w:val="28"/>
        </w:rPr>
      </w:pPr>
      <w:r w:rsidRPr="004E51D1">
        <w:rPr>
          <w:rFonts w:eastAsia="TimesNewRomanPSMT"/>
          <w:b/>
          <w:bCs/>
          <w:i/>
          <w:color w:val="000000"/>
          <w:sz w:val="28"/>
          <w:szCs w:val="28"/>
        </w:rPr>
        <w:t>Кровотечение</w:t>
      </w:r>
    </w:p>
    <w:p w14:paraId="48AE1546"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lastRenderedPageBreak/>
        <w:t>Наиболее часто встречавшимся побочным явлением были кровотечения. К ним относятся обширные кровотечения, отмеченные у 4,2% пациентов (хирургические пациенты). Некоторые из этих случаев были фатальными. У хирургических пациентов кровотечения считались крупными:</w:t>
      </w:r>
    </w:p>
    <w:p w14:paraId="5972E71C"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если кровотечение вызвало значительное клиническое событие </w:t>
      </w:r>
    </w:p>
    <w:p w14:paraId="2818FE5B"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снижение уровня гемоглобина до уровня ≥ 2 г/мл или переливание 2 или более литров крови</w:t>
      </w:r>
    </w:p>
    <w:p w14:paraId="61E2B316"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забрюшинное или внутричерепное кровотечения</w:t>
      </w:r>
      <w:r w:rsidR="006E577B" w:rsidRPr="004E51D1">
        <w:rPr>
          <w:rFonts w:eastAsia="TimesNewRomanPSMT"/>
          <w:bCs/>
          <w:color w:val="000000"/>
          <w:sz w:val="28"/>
          <w:szCs w:val="28"/>
        </w:rPr>
        <w:t>.</w:t>
      </w:r>
    </w:p>
    <w:p w14:paraId="50FD3E83"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Как и в случае с другими антикоагулянтами, кровотечение может возникать при наличии связанных с ним факторов риска, таких как</w:t>
      </w:r>
      <w:r w:rsidR="00301999" w:rsidRPr="004E51D1">
        <w:rPr>
          <w:rFonts w:eastAsia="TimesNewRomanPSMT"/>
          <w:bCs/>
          <w:color w:val="000000"/>
          <w:sz w:val="28"/>
          <w:szCs w:val="28"/>
        </w:rPr>
        <w:t>:</w:t>
      </w:r>
    </w:p>
    <w:p w14:paraId="1E541A88"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 органические поражения, склонные к кровоточивости </w:t>
      </w:r>
    </w:p>
    <w:p w14:paraId="1B8A9F50"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инвазивные процедуры или сопутствующее применение лекарств, влияющих на гемостаз.</w:t>
      </w:r>
    </w:p>
    <w:tbl>
      <w:tblPr>
        <w:tblStyle w:val="af"/>
        <w:tblW w:w="0" w:type="auto"/>
        <w:tblLook w:val="04A0" w:firstRow="1" w:lastRow="0" w:firstColumn="1" w:lastColumn="0" w:noHBand="0" w:noVBand="1"/>
      </w:tblPr>
      <w:tblGrid>
        <w:gridCol w:w="1177"/>
        <w:gridCol w:w="1556"/>
        <w:gridCol w:w="1214"/>
        <w:gridCol w:w="1303"/>
        <w:gridCol w:w="1239"/>
        <w:gridCol w:w="1556"/>
        <w:gridCol w:w="1242"/>
      </w:tblGrid>
      <w:tr w:rsidR="00F81FA4" w:rsidRPr="004E51D1" w14:paraId="6AD6EAA6" w14:textId="77777777" w:rsidTr="00425BD0">
        <w:tc>
          <w:tcPr>
            <w:tcW w:w="1326" w:type="dxa"/>
          </w:tcPr>
          <w:p w14:paraId="300E739D"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Системно-органный класс</w:t>
            </w:r>
          </w:p>
        </w:tc>
        <w:tc>
          <w:tcPr>
            <w:tcW w:w="1192" w:type="dxa"/>
          </w:tcPr>
          <w:p w14:paraId="357626AD"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хирургических больных</w:t>
            </w:r>
          </w:p>
        </w:tc>
        <w:tc>
          <w:tcPr>
            <w:tcW w:w="1822" w:type="dxa"/>
          </w:tcPr>
          <w:p w14:paraId="10B6901F"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медицинских пациентов</w:t>
            </w:r>
          </w:p>
        </w:tc>
        <w:tc>
          <w:tcPr>
            <w:tcW w:w="1411" w:type="dxa"/>
          </w:tcPr>
          <w:p w14:paraId="46C39D80"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тромбозом глубоких вен с тромбоэмболией легочной артерии или без нее</w:t>
            </w:r>
          </w:p>
        </w:tc>
        <w:tc>
          <w:tcPr>
            <w:tcW w:w="1337" w:type="dxa"/>
          </w:tcPr>
          <w:p w14:paraId="597DFFBB"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Расширенное лечение тромбоза глубоких вен и тромбоэмболии легочной артерии у пациентов с активным раком</w:t>
            </w:r>
          </w:p>
        </w:tc>
        <w:tc>
          <w:tcPr>
            <w:tcW w:w="1196" w:type="dxa"/>
          </w:tcPr>
          <w:p w14:paraId="51C886AB"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нестабильной стенокардией и инфарктом миокарда без зубца Q</w:t>
            </w:r>
          </w:p>
        </w:tc>
        <w:tc>
          <w:tcPr>
            <w:tcW w:w="1003" w:type="dxa"/>
          </w:tcPr>
          <w:p w14:paraId="14E330E1"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острым инфарктом миокарда с подъемом сегмента ST</w:t>
            </w:r>
          </w:p>
        </w:tc>
      </w:tr>
      <w:tr w:rsidR="00F81FA4" w:rsidRPr="004E51D1" w14:paraId="3A12CFF2" w14:textId="77777777" w:rsidTr="00425BD0">
        <w:tc>
          <w:tcPr>
            <w:tcW w:w="1326" w:type="dxa"/>
          </w:tcPr>
          <w:p w14:paraId="51F4C403"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Заболевания крови и лимфатической системы</w:t>
            </w:r>
          </w:p>
        </w:tc>
        <w:tc>
          <w:tcPr>
            <w:tcW w:w="1192" w:type="dxa"/>
          </w:tcPr>
          <w:p w14:paraId="36107B89"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31600572"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4BBDB59D"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Редко:</w:t>
            </w:r>
          </w:p>
          <w:p w14:paraId="47ED21A6"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Ретроперитонеальное</w:t>
            </w:r>
            <w:proofErr w:type="spellEnd"/>
            <w:r w:rsidRPr="004E51D1">
              <w:rPr>
                <w:rFonts w:ascii="Times New Roman" w:eastAsia="TimesNewRomanPSMT" w:hAnsi="Times New Roman"/>
                <w:bCs/>
                <w:color w:val="000000"/>
                <w:sz w:val="28"/>
                <w:szCs w:val="28"/>
              </w:rPr>
              <w:t xml:space="preserve"> кровотечение</w:t>
            </w:r>
          </w:p>
        </w:tc>
        <w:tc>
          <w:tcPr>
            <w:tcW w:w="1822" w:type="dxa"/>
          </w:tcPr>
          <w:p w14:paraId="6F30C06F"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3C534814"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tc>
        <w:tc>
          <w:tcPr>
            <w:tcW w:w="1411" w:type="dxa"/>
          </w:tcPr>
          <w:p w14:paraId="6200F484"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59B15035"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025EDC72"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Нечасто:</w:t>
            </w:r>
            <w:r w:rsidRPr="004E51D1">
              <w:rPr>
                <w:rFonts w:ascii="Times New Roman" w:eastAsia="TimesNewRomanPSMT" w:hAnsi="Times New Roman"/>
                <w:bCs/>
                <w:color w:val="000000"/>
                <w:sz w:val="28"/>
                <w:szCs w:val="28"/>
              </w:rPr>
              <w:t xml:space="preserve"> Внутричерепное кровотечение, Забрюш</w:t>
            </w:r>
            <w:r w:rsidRPr="004E51D1">
              <w:rPr>
                <w:rFonts w:ascii="Times New Roman" w:eastAsia="TimesNewRomanPSMT" w:hAnsi="Times New Roman"/>
                <w:bCs/>
                <w:color w:val="000000"/>
                <w:sz w:val="28"/>
                <w:szCs w:val="28"/>
              </w:rPr>
              <w:lastRenderedPageBreak/>
              <w:t>инное кровотечение</w:t>
            </w:r>
          </w:p>
        </w:tc>
        <w:tc>
          <w:tcPr>
            <w:tcW w:w="1337" w:type="dxa"/>
          </w:tcPr>
          <w:p w14:paraId="0C3BB711"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lastRenderedPageBreak/>
              <w:t>Часто</w:t>
            </w:r>
            <w:r w:rsidRPr="004E51D1">
              <w:rPr>
                <w:rFonts w:ascii="Times New Roman" w:eastAsia="TimesNewRomanPSMT" w:hAnsi="Times New Roman"/>
                <w:bCs/>
                <w:i/>
                <w:iCs/>
                <w:color w:val="000000"/>
                <w:sz w:val="28"/>
                <w:szCs w:val="28"/>
                <w:vertAlign w:val="superscript"/>
                <w:lang w:val="en-US"/>
              </w:rPr>
              <w:t>b</w:t>
            </w:r>
            <w:r w:rsidRPr="004E51D1">
              <w:rPr>
                <w:rFonts w:ascii="Times New Roman" w:eastAsia="TimesNewRomanPSMT" w:hAnsi="Times New Roman"/>
                <w:bCs/>
                <w:i/>
                <w:iCs/>
                <w:color w:val="000000"/>
                <w:sz w:val="28"/>
                <w:szCs w:val="28"/>
              </w:rPr>
              <w:t>:</w:t>
            </w:r>
          </w:p>
          <w:p w14:paraId="69EABCC0"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кровотечение</w:t>
            </w:r>
          </w:p>
        </w:tc>
        <w:tc>
          <w:tcPr>
            <w:tcW w:w="1196" w:type="dxa"/>
          </w:tcPr>
          <w:p w14:paraId="6D57FDB6"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63AD1637"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proofErr w:type="spellStart"/>
            <w:r w:rsidRPr="004E51D1">
              <w:rPr>
                <w:rFonts w:ascii="Times New Roman" w:eastAsia="TimesNewRomanPSMT" w:hAnsi="Times New Roman"/>
                <w:bCs/>
                <w:color w:val="000000"/>
                <w:sz w:val="28"/>
                <w:szCs w:val="28"/>
              </w:rPr>
              <w:t>кровотечение</w:t>
            </w:r>
            <w:r w:rsidRPr="004E51D1">
              <w:rPr>
                <w:rFonts w:ascii="Times New Roman" w:eastAsia="TimesNewRomanPSMT" w:hAnsi="Times New Roman"/>
                <w:bCs/>
                <w:color w:val="000000"/>
                <w:sz w:val="28"/>
                <w:szCs w:val="28"/>
                <w:vertAlign w:val="superscript"/>
              </w:rPr>
              <w:t>а</w:t>
            </w:r>
            <w:proofErr w:type="spellEnd"/>
          </w:p>
          <w:p w14:paraId="023A39CA"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Редко:</w:t>
            </w:r>
          </w:p>
          <w:p w14:paraId="0EC7ACE3"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proofErr w:type="spellStart"/>
            <w:r w:rsidRPr="004E51D1">
              <w:rPr>
                <w:rFonts w:ascii="Times New Roman" w:eastAsia="TimesNewRomanPSMT" w:hAnsi="Times New Roman"/>
                <w:bCs/>
                <w:color w:val="000000"/>
                <w:sz w:val="28"/>
                <w:szCs w:val="28"/>
              </w:rPr>
              <w:t>Ретроперитонеальное</w:t>
            </w:r>
            <w:proofErr w:type="spellEnd"/>
            <w:r w:rsidRPr="004E51D1">
              <w:rPr>
                <w:rFonts w:ascii="Times New Roman" w:eastAsia="TimesNewRomanPSMT" w:hAnsi="Times New Roman"/>
                <w:bCs/>
                <w:color w:val="000000"/>
                <w:sz w:val="28"/>
                <w:szCs w:val="28"/>
              </w:rPr>
              <w:t xml:space="preserve"> кровотечение</w:t>
            </w:r>
          </w:p>
        </w:tc>
        <w:tc>
          <w:tcPr>
            <w:tcW w:w="1003" w:type="dxa"/>
          </w:tcPr>
          <w:p w14:paraId="1D404448"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r w:rsidRPr="004E51D1">
              <w:rPr>
                <w:rFonts w:ascii="Times New Roman" w:eastAsia="TimesNewRomanPSMT" w:hAnsi="Times New Roman"/>
                <w:bCs/>
                <w:i/>
                <w:iCs/>
                <w:color w:val="000000"/>
                <w:sz w:val="28"/>
                <w:szCs w:val="28"/>
                <w:vertAlign w:val="superscript"/>
                <w:lang w:val="en-US"/>
              </w:rPr>
              <w:t>b</w:t>
            </w:r>
            <w:r w:rsidRPr="004E51D1">
              <w:rPr>
                <w:rFonts w:ascii="Times New Roman" w:eastAsia="TimesNewRomanPSMT" w:hAnsi="Times New Roman"/>
                <w:bCs/>
                <w:i/>
                <w:iCs/>
                <w:color w:val="000000"/>
                <w:sz w:val="28"/>
                <w:szCs w:val="28"/>
              </w:rPr>
              <w:t>:</w:t>
            </w:r>
          </w:p>
          <w:p w14:paraId="45883108"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Кровотечение</w:t>
            </w:r>
          </w:p>
          <w:p w14:paraId="14CDE690"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Нечасто:</w:t>
            </w:r>
            <w:r w:rsidRPr="004E51D1">
              <w:rPr>
                <w:rFonts w:ascii="Times New Roman" w:eastAsia="TimesNewRomanPSMT" w:hAnsi="Times New Roman"/>
                <w:bCs/>
                <w:color w:val="000000"/>
                <w:sz w:val="28"/>
                <w:szCs w:val="28"/>
              </w:rPr>
              <w:t xml:space="preserve"> Внутричерепное кровотечение, Забрюш</w:t>
            </w:r>
            <w:r w:rsidRPr="004E51D1">
              <w:rPr>
                <w:rFonts w:ascii="Times New Roman" w:eastAsia="TimesNewRomanPSMT" w:hAnsi="Times New Roman"/>
                <w:bCs/>
                <w:color w:val="000000"/>
                <w:sz w:val="28"/>
                <w:szCs w:val="28"/>
              </w:rPr>
              <w:lastRenderedPageBreak/>
              <w:t>инное кровотечение</w:t>
            </w:r>
          </w:p>
        </w:tc>
      </w:tr>
    </w:tbl>
    <w:p w14:paraId="7EC04223"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rPr>
        <w:lastRenderedPageBreak/>
        <w:t>а</w:t>
      </w:r>
      <w:r w:rsidRPr="004E51D1">
        <w:rPr>
          <w:rFonts w:eastAsia="TimesNewRomanPSMT"/>
          <w:bCs/>
          <w:color w:val="000000"/>
          <w:sz w:val="28"/>
          <w:szCs w:val="28"/>
        </w:rPr>
        <w:t xml:space="preserve"> такие как гематома, экхимоз, отличный от кровоподтека в месте инъекции, гематома раны, гематурия, носовое кровотечение и желудочно-кишечное кровотечение</w:t>
      </w:r>
    </w:p>
    <w:p w14:paraId="30B64701"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lang w:val="en-US"/>
        </w:rPr>
        <w:t>b</w:t>
      </w:r>
      <w:r w:rsidRPr="004E51D1">
        <w:rPr>
          <w:rFonts w:eastAsia="TimesNewRomanPSMT"/>
          <w:bCs/>
          <w:color w:val="000000"/>
          <w:sz w:val="28"/>
          <w:szCs w:val="28"/>
        </w:rPr>
        <w:t xml:space="preserve"> частота основана на ретроспективном исследовании регистра, включающего 3526 пациентов </w:t>
      </w:r>
    </w:p>
    <w:p w14:paraId="5BCEC8CE" w14:textId="77777777" w:rsidR="00F81FA4" w:rsidRPr="004E51D1" w:rsidRDefault="00F81FA4" w:rsidP="00F81FA4">
      <w:pPr>
        <w:jc w:val="both"/>
        <w:rPr>
          <w:rFonts w:eastAsia="TimesNewRomanPSMT"/>
          <w:bCs/>
          <w:i/>
          <w:iCs/>
          <w:color w:val="000000"/>
          <w:sz w:val="28"/>
          <w:szCs w:val="28"/>
        </w:rPr>
      </w:pPr>
      <w:r w:rsidRPr="004E51D1">
        <w:rPr>
          <w:rFonts w:eastAsia="TimesNewRomanPSMT"/>
          <w:bCs/>
          <w:i/>
          <w:iCs/>
          <w:color w:val="000000"/>
          <w:sz w:val="28"/>
          <w:szCs w:val="28"/>
        </w:rPr>
        <w:t xml:space="preserve">Тромбоцитопения и тромбоцитоз </w:t>
      </w:r>
    </w:p>
    <w:tbl>
      <w:tblPr>
        <w:tblStyle w:val="af"/>
        <w:tblW w:w="0" w:type="auto"/>
        <w:tblLook w:val="04A0" w:firstRow="1" w:lastRow="0" w:firstColumn="1" w:lastColumn="0" w:noHBand="0" w:noVBand="1"/>
      </w:tblPr>
      <w:tblGrid>
        <w:gridCol w:w="1152"/>
        <w:gridCol w:w="1312"/>
        <w:gridCol w:w="1312"/>
        <w:gridCol w:w="1312"/>
        <w:gridCol w:w="1312"/>
        <w:gridCol w:w="1312"/>
        <w:gridCol w:w="1575"/>
      </w:tblGrid>
      <w:tr w:rsidR="00F81FA4" w:rsidRPr="004E51D1" w14:paraId="0C069679" w14:textId="77777777" w:rsidTr="00425BD0">
        <w:tc>
          <w:tcPr>
            <w:tcW w:w="1152" w:type="dxa"/>
          </w:tcPr>
          <w:p w14:paraId="26FA5FB4"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Системно-органный класс</w:t>
            </w:r>
          </w:p>
        </w:tc>
        <w:tc>
          <w:tcPr>
            <w:tcW w:w="1312" w:type="dxa"/>
          </w:tcPr>
          <w:p w14:paraId="6E364033"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хирургических больных</w:t>
            </w:r>
          </w:p>
        </w:tc>
        <w:tc>
          <w:tcPr>
            <w:tcW w:w="1312" w:type="dxa"/>
          </w:tcPr>
          <w:p w14:paraId="3249CD21"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Профилактика у медицинских пациентов</w:t>
            </w:r>
          </w:p>
        </w:tc>
        <w:tc>
          <w:tcPr>
            <w:tcW w:w="1312" w:type="dxa"/>
          </w:tcPr>
          <w:p w14:paraId="544F3458"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тромбозом глубоких вен с тромбоэмболией легочной артерии или без нее</w:t>
            </w:r>
          </w:p>
        </w:tc>
        <w:tc>
          <w:tcPr>
            <w:tcW w:w="1312" w:type="dxa"/>
          </w:tcPr>
          <w:p w14:paraId="7D97E723" w14:textId="77777777" w:rsidR="00F81FA4" w:rsidRPr="004E51D1" w:rsidRDefault="00571CE7"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Расширенное лечение тромбоза глубоких вен и тромбоэмболии легочной артерии у пациентов с активным раком</w:t>
            </w:r>
          </w:p>
        </w:tc>
        <w:tc>
          <w:tcPr>
            <w:tcW w:w="1312" w:type="dxa"/>
          </w:tcPr>
          <w:p w14:paraId="478B1B62"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нестабильной стенокардией и инфарктом миокарда без зубца Q</w:t>
            </w:r>
          </w:p>
        </w:tc>
        <w:tc>
          <w:tcPr>
            <w:tcW w:w="1575" w:type="dxa"/>
          </w:tcPr>
          <w:p w14:paraId="3EA64735" w14:textId="77777777" w:rsidR="00F81FA4" w:rsidRPr="004E51D1" w:rsidRDefault="00F81FA4" w:rsidP="00F81FA4">
            <w:pPr>
              <w:spacing w:after="0" w:line="240" w:lineRule="auto"/>
              <w:jc w:val="both"/>
              <w:rPr>
                <w:rFonts w:ascii="Times New Roman" w:eastAsia="TimesNewRomanPSMT" w:hAnsi="Times New Roman"/>
                <w:b/>
                <w:color w:val="000000"/>
                <w:sz w:val="28"/>
                <w:szCs w:val="28"/>
              </w:rPr>
            </w:pPr>
            <w:r w:rsidRPr="004E51D1">
              <w:rPr>
                <w:rFonts w:ascii="Times New Roman" w:eastAsia="TimesNewRomanPSMT" w:hAnsi="Times New Roman"/>
                <w:b/>
                <w:color w:val="000000"/>
                <w:sz w:val="28"/>
                <w:szCs w:val="28"/>
              </w:rPr>
              <w:t>Лечение пациентов с острым инфарктом миокарда с подъемом сегмента ST</w:t>
            </w:r>
          </w:p>
        </w:tc>
      </w:tr>
      <w:tr w:rsidR="00F81FA4" w:rsidRPr="004E51D1" w14:paraId="382CC792" w14:textId="77777777" w:rsidTr="00425BD0">
        <w:tc>
          <w:tcPr>
            <w:tcW w:w="1152" w:type="dxa"/>
          </w:tcPr>
          <w:p w14:paraId="73C747BE"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Заболевания крови и лимфатической системы</w:t>
            </w:r>
          </w:p>
        </w:tc>
        <w:tc>
          <w:tcPr>
            <w:tcW w:w="1312" w:type="dxa"/>
          </w:tcPr>
          <w:p w14:paraId="3F182F2C"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1DD67B3C"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484274E1"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Часто:</w:t>
            </w:r>
            <w:r w:rsidRPr="004E51D1">
              <w:rPr>
                <w:rFonts w:ascii="Times New Roman" w:eastAsia="TimesNewRomanPSMT" w:hAnsi="Times New Roman"/>
                <w:bCs/>
                <w:color w:val="000000"/>
                <w:sz w:val="28"/>
                <w:szCs w:val="28"/>
              </w:rPr>
              <w:t xml:space="preserve"> Тромбоцитопения</w:t>
            </w:r>
          </w:p>
        </w:tc>
        <w:tc>
          <w:tcPr>
            <w:tcW w:w="1312" w:type="dxa"/>
          </w:tcPr>
          <w:p w14:paraId="388AAB8A"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Нечасто:</w:t>
            </w:r>
          </w:p>
          <w:p w14:paraId="3AE391C5"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475BF4BA"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Очень часто:</w:t>
            </w:r>
          </w:p>
          <w:p w14:paraId="2DC86C52"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7CF05D14"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2C2FB98F"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3DEE6F00"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Неизвестно:</w:t>
            </w:r>
          </w:p>
          <w:p w14:paraId="7F253AD9"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312" w:type="dxa"/>
          </w:tcPr>
          <w:p w14:paraId="524F8D98"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Неизвестно:</w:t>
            </w:r>
          </w:p>
          <w:p w14:paraId="50F7D650"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tc>
        <w:tc>
          <w:tcPr>
            <w:tcW w:w="1575" w:type="dxa"/>
          </w:tcPr>
          <w:p w14:paraId="4EE58996" w14:textId="77777777" w:rsidR="00F81FA4" w:rsidRPr="004E51D1" w:rsidRDefault="00F81FA4" w:rsidP="00F81FA4">
            <w:pPr>
              <w:spacing w:after="0" w:line="240" w:lineRule="auto"/>
              <w:jc w:val="both"/>
              <w:rPr>
                <w:rFonts w:ascii="Times New Roman" w:eastAsia="TimesNewRomanPSMT" w:hAnsi="Times New Roman"/>
                <w:bCs/>
                <w:i/>
                <w:iCs/>
                <w:color w:val="000000"/>
                <w:sz w:val="28"/>
                <w:szCs w:val="28"/>
              </w:rPr>
            </w:pPr>
            <w:r w:rsidRPr="004E51D1">
              <w:rPr>
                <w:rFonts w:ascii="Times New Roman" w:eastAsia="TimesNewRomanPSMT" w:hAnsi="Times New Roman"/>
                <w:bCs/>
                <w:i/>
                <w:iCs/>
                <w:color w:val="000000"/>
                <w:sz w:val="28"/>
                <w:szCs w:val="28"/>
              </w:rPr>
              <w:t>Часто:</w:t>
            </w:r>
          </w:p>
          <w:p w14:paraId="56DC271E" w14:textId="77777777" w:rsidR="00F81FA4" w:rsidRPr="004E51D1" w:rsidRDefault="00F81FA4" w:rsidP="00F81FA4">
            <w:pPr>
              <w:spacing w:after="0" w:line="240" w:lineRule="auto"/>
              <w:jc w:val="both"/>
              <w:rPr>
                <w:rFonts w:ascii="Times New Roman" w:eastAsia="TimesNewRomanPSMT" w:hAnsi="Times New Roman"/>
                <w:bCs/>
                <w:color w:val="000000"/>
                <w:sz w:val="28"/>
                <w:szCs w:val="28"/>
                <w:vertAlign w:val="superscript"/>
              </w:rPr>
            </w:pPr>
            <w:r w:rsidRPr="004E51D1">
              <w:rPr>
                <w:rFonts w:ascii="Times New Roman" w:eastAsia="TimesNewRomanPSMT" w:hAnsi="Times New Roman"/>
                <w:bCs/>
                <w:color w:val="000000"/>
                <w:sz w:val="28"/>
                <w:szCs w:val="28"/>
              </w:rPr>
              <w:t>Тромбоцитоз</w:t>
            </w:r>
            <w:r w:rsidRPr="004E51D1">
              <w:rPr>
                <w:rFonts w:ascii="Times New Roman" w:eastAsia="TimesNewRomanPSMT" w:hAnsi="Times New Roman"/>
                <w:bCs/>
                <w:color w:val="000000"/>
                <w:sz w:val="28"/>
                <w:szCs w:val="28"/>
                <w:vertAlign w:val="superscript"/>
                <w:lang w:val="en-US"/>
              </w:rPr>
              <w:t>c</w:t>
            </w:r>
          </w:p>
          <w:p w14:paraId="56D58BC1"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color w:val="000000"/>
                <w:sz w:val="28"/>
                <w:szCs w:val="28"/>
              </w:rPr>
              <w:t>Тромбоцитопения</w:t>
            </w:r>
          </w:p>
          <w:p w14:paraId="595F4D7E" w14:textId="77777777" w:rsidR="00F81FA4" w:rsidRPr="004E51D1" w:rsidRDefault="00F81FA4" w:rsidP="00F81FA4">
            <w:pPr>
              <w:spacing w:after="0" w:line="240" w:lineRule="auto"/>
              <w:jc w:val="both"/>
              <w:rPr>
                <w:rFonts w:ascii="Times New Roman" w:eastAsia="TimesNewRomanPSMT" w:hAnsi="Times New Roman"/>
                <w:bCs/>
                <w:color w:val="000000"/>
                <w:sz w:val="28"/>
                <w:szCs w:val="28"/>
              </w:rPr>
            </w:pPr>
            <w:r w:rsidRPr="004E51D1">
              <w:rPr>
                <w:rFonts w:ascii="Times New Roman" w:eastAsia="TimesNewRomanPSMT" w:hAnsi="Times New Roman"/>
                <w:bCs/>
                <w:i/>
                <w:iCs/>
                <w:color w:val="000000"/>
                <w:sz w:val="28"/>
                <w:szCs w:val="28"/>
              </w:rPr>
              <w:t>Очень редко:</w:t>
            </w:r>
            <w:r w:rsidRPr="004E51D1">
              <w:rPr>
                <w:rFonts w:ascii="Times New Roman" w:eastAsia="TimesNewRomanPSMT" w:hAnsi="Times New Roman"/>
                <w:bCs/>
                <w:color w:val="000000"/>
                <w:sz w:val="28"/>
                <w:szCs w:val="28"/>
              </w:rPr>
              <w:t xml:space="preserve"> Иммуноаллергическая тромбоцитопения</w:t>
            </w:r>
          </w:p>
        </w:tc>
      </w:tr>
    </w:tbl>
    <w:p w14:paraId="28F0FBFD"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vertAlign w:val="superscript"/>
        </w:rPr>
        <w:t>c</w:t>
      </w:r>
      <w:r w:rsidRPr="004E51D1">
        <w:rPr>
          <w:rFonts w:eastAsia="TimesNewRomanPSMT"/>
          <w:bCs/>
          <w:color w:val="000000"/>
          <w:sz w:val="28"/>
          <w:szCs w:val="28"/>
        </w:rPr>
        <w:t>: Тромбоциты повышены &gt;400 г/л</w:t>
      </w:r>
    </w:p>
    <w:p w14:paraId="3FFFEB7B" w14:textId="77777777" w:rsidR="00F81FA4" w:rsidRPr="004E51D1" w:rsidRDefault="00F81FA4" w:rsidP="00F81FA4">
      <w:pPr>
        <w:jc w:val="both"/>
        <w:rPr>
          <w:rFonts w:eastAsia="TimesNewRomanPSMT"/>
          <w:bCs/>
          <w:i/>
          <w:iCs/>
          <w:color w:val="000000"/>
          <w:sz w:val="28"/>
          <w:szCs w:val="28"/>
        </w:rPr>
      </w:pPr>
      <w:r w:rsidRPr="004E51D1">
        <w:rPr>
          <w:rFonts w:eastAsia="TimesNewRomanPSMT"/>
          <w:bCs/>
          <w:i/>
          <w:iCs/>
          <w:color w:val="000000"/>
          <w:sz w:val="28"/>
          <w:szCs w:val="28"/>
        </w:rPr>
        <w:t>Дети</w:t>
      </w:r>
    </w:p>
    <w:p w14:paraId="57F9ADF7" w14:textId="77777777" w:rsidR="00F81FA4" w:rsidRPr="004E51D1" w:rsidRDefault="00F81FA4" w:rsidP="00F81FA4">
      <w:pPr>
        <w:jc w:val="both"/>
        <w:rPr>
          <w:rFonts w:eastAsia="TimesNewRomanPSMT"/>
          <w:bCs/>
          <w:color w:val="000000"/>
          <w:sz w:val="28"/>
          <w:szCs w:val="28"/>
        </w:rPr>
      </w:pPr>
      <w:r w:rsidRPr="004E51D1">
        <w:rPr>
          <w:rFonts w:eastAsia="TimesNewRomanPSMT"/>
          <w:bCs/>
          <w:color w:val="000000"/>
          <w:sz w:val="28"/>
          <w:szCs w:val="28"/>
        </w:rPr>
        <w:t xml:space="preserve">Безопасность и эффективность </w:t>
      </w:r>
      <w:proofErr w:type="spellStart"/>
      <w:r w:rsidRPr="004E51D1">
        <w:rPr>
          <w:rFonts w:eastAsia="TimesNewRomanPSMT"/>
          <w:bCs/>
          <w:color w:val="000000"/>
          <w:sz w:val="28"/>
          <w:szCs w:val="28"/>
        </w:rPr>
        <w:t>эноксапарина</w:t>
      </w:r>
      <w:proofErr w:type="spellEnd"/>
      <w:r w:rsidRPr="004E51D1">
        <w:rPr>
          <w:rFonts w:eastAsia="TimesNewRomanPSMT"/>
          <w:bCs/>
          <w:color w:val="000000"/>
          <w:sz w:val="28"/>
          <w:szCs w:val="28"/>
        </w:rPr>
        <w:t xml:space="preserve"> натрия у детей не установлены.</w:t>
      </w:r>
    </w:p>
    <w:p w14:paraId="2093C63B" w14:textId="77777777" w:rsidR="00F81FA4" w:rsidRPr="004E51D1" w:rsidRDefault="00F81FA4" w:rsidP="00D80AD5">
      <w:pPr>
        <w:jc w:val="both"/>
        <w:rPr>
          <w:rFonts w:eastAsia="Calibri"/>
          <w:bCs/>
          <w:sz w:val="28"/>
          <w:szCs w:val="28"/>
          <w:lang w:eastAsia="en-US"/>
        </w:rPr>
      </w:pPr>
    </w:p>
    <w:p w14:paraId="602895AE" w14:textId="77777777" w:rsidR="00EE5B62" w:rsidRPr="004E51D1" w:rsidRDefault="00EE5B62" w:rsidP="00D80AD5">
      <w:pPr>
        <w:jc w:val="both"/>
        <w:rPr>
          <w:b/>
          <w:sz w:val="28"/>
          <w:szCs w:val="28"/>
          <w:lang w:eastAsia="en-US"/>
        </w:rPr>
      </w:pPr>
      <w:r w:rsidRPr="004E51D1">
        <w:rPr>
          <w:b/>
          <w:sz w:val="28"/>
          <w:szCs w:val="28"/>
          <w:lang w:eastAsia="en-US"/>
        </w:rPr>
        <w:lastRenderedPageBreak/>
        <w:t xml:space="preserve">При возникновении нежелательных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 </w:t>
      </w:r>
    </w:p>
    <w:p w14:paraId="100322A9" w14:textId="77777777" w:rsidR="00EE5B62" w:rsidRPr="004E51D1" w:rsidRDefault="00EE5B62" w:rsidP="00D80AD5">
      <w:pPr>
        <w:jc w:val="both"/>
        <w:rPr>
          <w:sz w:val="28"/>
          <w:szCs w:val="28"/>
          <w:lang w:eastAsia="en-US"/>
        </w:rPr>
      </w:pPr>
      <w:r w:rsidRPr="004E51D1">
        <w:rPr>
          <w:sz w:val="28"/>
          <w:szCs w:val="28"/>
          <w:lang w:eastAsia="en-US"/>
        </w:rPr>
        <w:t xml:space="preserve">РГП на ПХВ «Национальный Центр экспертизы лекарственных средств и медицинских изделий» Комитет </w:t>
      </w:r>
      <w:r w:rsidR="007A36AD" w:rsidRPr="004E51D1">
        <w:rPr>
          <w:sz w:val="28"/>
          <w:szCs w:val="28"/>
          <w:lang w:eastAsia="en-US"/>
        </w:rPr>
        <w:t>медицинского и фармацевтического контроля</w:t>
      </w:r>
      <w:r w:rsidRPr="004E51D1">
        <w:rPr>
          <w:sz w:val="28"/>
          <w:szCs w:val="28"/>
          <w:lang w:eastAsia="en-US"/>
        </w:rPr>
        <w:t xml:space="preserve"> Министерства здравоохранения Республики Казахстан</w:t>
      </w:r>
    </w:p>
    <w:p w14:paraId="635556D4" w14:textId="77777777" w:rsidR="00360C10" w:rsidRPr="004E51D1" w:rsidRDefault="004F6503" w:rsidP="00D80AD5">
      <w:pPr>
        <w:jc w:val="both"/>
        <w:rPr>
          <w:sz w:val="28"/>
          <w:szCs w:val="28"/>
          <w:lang w:eastAsia="en-US"/>
        </w:rPr>
      </w:pPr>
      <w:hyperlink r:id="rId7" w:history="1">
        <w:r w:rsidR="00EE5B62" w:rsidRPr="004E51D1">
          <w:rPr>
            <w:rStyle w:val="ab"/>
            <w:sz w:val="28"/>
            <w:szCs w:val="28"/>
            <w:lang w:val="en-US" w:eastAsia="en-US"/>
          </w:rPr>
          <w:t>http</w:t>
        </w:r>
        <w:r w:rsidR="00EE5B62" w:rsidRPr="004E51D1">
          <w:rPr>
            <w:rStyle w:val="ab"/>
            <w:sz w:val="28"/>
            <w:szCs w:val="28"/>
            <w:lang w:eastAsia="en-US"/>
          </w:rPr>
          <w:t>://</w:t>
        </w:r>
        <w:r w:rsidR="00EE5B62" w:rsidRPr="004E51D1">
          <w:rPr>
            <w:rStyle w:val="ab"/>
            <w:sz w:val="28"/>
            <w:szCs w:val="28"/>
            <w:lang w:val="en-US" w:eastAsia="en-US"/>
          </w:rPr>
          <w:t>www</w:t>
        </w:r>
        <w:r w:rsidR="00EE5B62" w:rsidRPr="004E51D1">
          <w:rPr>
            <w:rStyle w:val="ab"/>
            <w:sz w:val="28"/>
            <w:szCs w:val="28"/>
            <w:lang w:eastAsia="en-US"/>
          </w:rPr>
          <w:t>.</w:t>
        </w:r>
        <w:proofErr w:type="spellStart"/>
        <w:r w:rsidR="00EE5B62" w:rsidRPr="004E51D1">
          <w:rPr>
            <w:rStyle w:val="ab"/>
            <w:sz w:val="28"/>
            <w:szCs w:val="28"/>
            <w:lang w:val="en-US" w:eastAsia="en-US"/>
          </w:rPr>
          <w:t>ndda</w:t>
        </w:r>
        <w:proofErr w:type="spellEnd"/>
        <w:r w:rsidR="00EE5B62" w:rsidRPr="004E51D1">
          <w:rPr>
            <w:rStyle w:val="ab"/>
            <w:sz w:val="28"/>
            <w:szCs w:val="28"/>
            <w:lang w:eastAsia="en-US"/>
          </w:rPr>
          <w:t>.</w:t>
        </w:r>
        <w:proofErr w:type="spellStart"/>
        <w:r w:rsidR="00EE5B62" w:rsidRPr="004E51D1">
          <w:rPr>
            <w:rStyle w:val="ab"/>
            <w:sz w:val="28"/>
            <w:szCs w:val="28"/>
            <w:lang w:val="en-US" w:eastAsia="en-US"/>
          </w:rPr>
          <w:t>kz</w:t>
        </w:r>
        <w:proofErr w:type="spellEnd"/>
      </w:hyperlink>
    </w:p>
    <w:p w14:paraId="5BF0EE03" w14:textId="77777777" w:rsidR="000F7736" w:rsidRPr="004E51D1" w:rsidRDefault="000F7736" w:rsidP="00D80AD5">
      <w:pPr>
        <w:jc w:val="both"/>
        <w:rPr>
          <w:sz w:val="28"/>
          <w:szCs w:val="28"/>
          <w:lang w:eastAsia="en-US"/>
        </w:rPr>
      </w:pPr>
    </w:p>
    <w:p w14:paraId="44E7D19D" w14:textId="77777777" w:rsidR="00B96EE6" w:rsidRPr="004E51D1" w:rsidRDefault="00B96EE6" w:rsidP="00D80AD5">
      <w:pPr>
        <w:rPr>
          <w:b/>
          <w:sz w:val="28"/>
          <w:szCs w:val="28"/>
          <w:lang w:eastAsia="en-US"/>
        </w:rPr>
      </w:pPr>
      <w:r w:rsidRPr="004E51D1">
        <w:rPr>
          <w:b/>
          <w:sz w:val="28"/>
          <w:szCs w:val="28"/>
          <w:lang w:eastAsia="en-US"/>
        </w:rPr>
        <w:t>Дополнительные сведения</w:t>
      </w:r>
    </w:p>
    <w:p w14:paraId="0C615CCA" w14:textId="77777777" w:rsidR="00B96EE6" w:rsidRPr="004E51D1" w:rsidRDefault="00B96EE6" w:rsidP="00D80AD5">
      <w:pPr>
        <w:rPr>
          <w:i/>
          <w:sz w:val="28"/>
          <w:szCs w:val="28"/>
          <w:lang w:eastAsia="en-US"/>
        </w:rPr>
      </w:pPr>
      <w:r w:rsidRPr="004E51D1">
        <w:rPr>
          <w:b/>
          <w:i/>
          <w:sz w:val="28"/>
          <w:szCs w:val="28"/>
          <w:lang w:eastAsia="en-US"/>
        </w:rPr>
        <w:t xml:space="preserve">Состав лекарственного препарата </w:t>
      </w:r>
      <w:bookmarkStart w:id="4" w:name="2175220285"/>
      <w:bookmarkEnd w:id="4"/>
    </w:p>
    <w:p w14:paraId="0E316250" w14:textId="77777777" w:rsidR="008A7CF0" w:rsidRPr="004E51D1" w:rsidRDefault="008A7CF0" w:rsidP="00D80AD5">
      <w:pPr>
        <w:jc w:val="both"/>
        <w:rPr>
          <w:sz w:val="28"/>
          <w:szCs w:val="28"/>
          <w:lang w:eastAsia="en-US"/>
        </w:rPr>
      </w:pPr>
      <w:r w:rsidRPr="004E51D1">
        <w:rPr>
          <w:sz w:val="28"/>
          <w:szCs w:val="28"/>
          <w:lang w:eastAsia="en-US"/>
        </w:rPr>
        <w:t xml:space="preserve">1 шприц содержит </w:t>
      </w:r>
    </w:p>
    <w:p w14:paraId="179561FE" w14:textId="77777777" w:rsidR="008A7CF0" w:rsidRPr="004E51D1" w:rsidRDefault="008A7CF0" w:rsidP="00D80AD5">
      <w:pPr>
        <w:jc w:val="both"/>
        <w:rPr>
          <w:sz w:val="28"/>
          <w:szCs w:val="28"/>
          <w:lang w:eastAsia="en-US"/>
        </w:rPr>
      </w:pPr>
      <w:r w:rsidRPr="004E51D1">
        <w:rPr>
          <w:i/>
          <w:sz w:val="28"/>
          <w:szCs w:val="28"/>
          <w:lang w:eastAsia="en-US"/>
        </w:rPr>
        <w:t>активное вещество</w:t>
      </w:r>
      <w:r w:rsidRPr="004E51D1">
        <w:rPr>
          <w:sz w:val="28"/>
          <w:szCs w:val="28"/>
          <w:lang w:eastAsia="en-US"/>
        </w:rPr>
        <w:t xml:space="preserve"> - </w:t>
      </w:r>
      <w:proofErr w:type="spellStart"/>
      <w:r w:rsidRPr="004E51D1">
        <w:rPr>
          <w:sz w:val="28"/>
          <w:szCs w:val="28"/>
          <w:lang w:eastAsia="en-US"/>
        </w:rPr>
        <w:t>эноксапарина</w:t>
      </w:r>
      <w:proofErr w:type="spellEnd"/>
      <w:r w:rsidRPr="004E51D1">
        <w:rPr>
          <w:sz w:val="28"/>
          <w:szCs w:val="28"/>
          <w:lang w:eastAsia="en-US"/>
        </w:rPr>
        <w:t xml:space="preserve"> натрия 20 мг (эквивалентно 2000 анти-Ха МЕ) или 40 мг (эквивалентно 4000 анти-Ха МЕ),</w:t>
      </w:r>
    </w:p>
    <w:p w14:paraId="58DD1953" w14:textId="77777777" w:rsidR="008A7CF0" w:rsidRPr="004E51D1" w:rsidRDefault="008A7CF0" w:rsidP="00D80AD5">
      <w:pPr>
        <w:jc w:val="both"/>
        <w:rPr>
          <w:sz w:val="28"/>
          <w:szCs w:val="28"/>
          <w:lang w:eastAsia="en-US"/>
        </w:rPr>
      </w:pPr>
      <w:r w:rsidRPr="004E51D1">
        <w:rPr>
          <w:i/>
          <w:sz w:val="28"/>
          <w:szCs w:val="28"/>
          <w:lang w:eastAsia="en-US"/>
        </w:rPr>
        <w:t>вспомогательные вещества:</w:t>
      </w:r>
      <w:r w:rsidRPr="004E51D1">
        <w:rPr>
          <w:sz w:val="28"/>
          <w:szCs w:val="28"/>
          <w:lang w:eastAsia="en-US"/>
        </w:rPr>
        <w:t xml:space="preserve"> кислота </w:t>
      </w:r>
      <w:proofErr w:type="spellStart"/>
      <w:r w:rsidRPr="004E51D1">
        <w:rPr>
          <w:sz w:val="28"/>
          <w:szCs w:val="28"/>
          <w:lang w:eastAsia="en-US"/>
        </w:rPr>
        <w:t>хлороводородная</w:t>
      </w:r>
      <w:proofErr w:type="spellEnd"/>
      <w:r w:rsidRPr="004E51D1">
        <w:rPr>
          <w:sz w:val="28"/>
          <w:szCs w:val="28"/>
          <w:lang w:eastAsia="en-US"/>
        </w:rPr>
        <w:t xml:space="preserve"> (для коррекции рН), натрия гидроксид (для коррекции рН), вода для инъекций.</w:t>
      </w:r>
    </w:p>
    <w:p w14:paraId="35216D01" w14:textId="77777777" w:rsidR="007A36AD" w:rsidRPr="004E51D1" w:rsidRDefault="007A36AD" w:rsidP="00D80AD5">
      <w:pPr>
        <w:jc w:val="both"/>
        <w:rPr>
          <w:sz w:val="28"/>
          <w:szCs w:val="28"/>
          <w:lang w:eastAsia="en-US"/>
        </w:rPr>
      </w:pPr>
    </w:p>
    <w:p w14:paraId="5E5F8FC3" w14:textId="77777777" w:rsidR="00BA1B28" w:rsidRPr="004E51D1" w:rsidRDefault="00BA1B28" w:rsidP="00D80AD5">
      <w:pPr>
        <w:jc w:val="both"/>
        <w:rPr>
          <w:b/>
          <w:i/>
          <w:sz w:val="28"/>
          <w:szCs w:val="28"/>
          <w:lang w:eastAsia="en-US"/>
        </w:rPr>
      </w:pPr>
      <w:r w:rsidRPr="004E51D1">
        <w:rPr>
          <w:b/>
          <w:i/>
          <w:sz w:val="28"/>
          <w:szCs w:val="28"/>
          <w:lang w:eastAsia="en-US"/>
        </w:rPr>
        <w:t>Описание внешнего вида, запаха, вкуса</w:t>
      </w:r>
    </w:p>
    <w:p w14:paraId="131B01DC" w14:textId="77777777" w:rsidR="006B5CBE" w:rsidRDefault="008A20D8" w:rsidP="008A20D8">
      <w:pPr>
        <w:jc w:val="both"/>
        <w:rPr>
          <w:sz w:val="28"/>
          <w:lang w:val="kk-KZ"/>
        </w:rPr>
      </w:pPr>
      <w:r w:rsidRPr="008A20D8">
        <w:rPr>
          <w:sz w:val="28"/>
          <w:lang w:val="kk-KZ"/>
        </w:rPr>
        <w:t>Прозрачный раствор от</w:t>
      </w:r>
      <w:r>
        <w:rPr>
          <w:sz w:val="28"/>
          <w:lang w:val="kk-KZ"/>
        </w:rPr>
        <w:t xml:space="preserve"> </w:t>
      </w:r>
      <w:r w:rsidRPr="008A20D8">
        <w:rPr>
          <w:sz w:val="28"/>
          <w:lang w:val="kk-KZ"/>
        </w:rPr>
        <w:t>бесцветного до слабо-желтого</w:t>
      </w:r>
      <w:r>
        <w:rPr>
          <w:sz w:val="28"/>
          <w:lang w:val="kk-KZ"/>
        </w:rPr>
        <w:t xml:space="preserve"> </w:t>
      </w:r>
      <w:r w:rsidRPr="008A20D8">
        <w:rPr>
          <w:sz w:val="28"/>
          <w:lang w:val="kk-KZ"/>
        </w:rPr>
        <w:t>цвета, свободный от видимых</w:t>
      </w:r>
      <w:r>
        <w:rPr>
          <w:sz w:val="28"/>
          <w:lang w:val="kk-KZ"/>
        </w:rPr>
        <w:t xml:space="preserve"> </w:t>
      </w:r>
      <w:r w:rsidRPr="008A20D8">
        <w:rPr>
          <w:sz w:val="28"/>
          <w:lang w:val="kk-KZ"/>
        </w:rPr>
        <w:t>частиц</w:t>
      </w:r>
      <w:r>
        <w:rPr>
          <w:sz w:val="28"/>
          <w:lang w:val="kk-KZ"/>
        </w:rPr>
        <w:t>.</w:t>
      </w:r>
    </w:p>
    <w:p w14:paraId="0E231C7B" w14:textId="77777777" w:rsidR="008A20D8" w:rsidRPr="004E51D1" w:rsidRDefault="008A20D8" w:rsidP="008A20D8">
      <w:pPr>
        <w:jc w:val="both"/>
        <w:rPr>
          <w:b/>
          <w:sz w:val="28"/>
          <w:szCs w:val="28"/>
          <w:lang w:eastAsia="en-US"/>
        </w:rPr>
      </w:pPr>
    </w:p>
    <w:p w14:paraId="74086010" w14:textId="77777777" w:rsidR="0036659C" w:rsidRPr="004E51D1" w:rsidRDefault="0036659C" w:rsidP="00D80AD5">
      <w:pPr>
        <w:jc w:val="both"/>
        <w:rPr>
          <w:b/>
          <w:sz w:val="28"/>
          <w:szCs w:val="28"/>
          <w:lang w:eastAsia="en-US"/>
        </w:rPr>
      </w:pPr>
      <w:r w:rsidRPr="004E51D1">
        <w:rPr>
          <w:b/>
          <w:sz w:val="28"/>
          <w:szCs w:val="28"/>
          <w:lang w:eastAsia="en-US"/>
        </w:rPr>
        <w:t>Форма выпуска и упаковка</w:t>
      </w:r>
    </w:p>
    <w:p w14:paraId="005A4DA9" w14:textId="77777777" w:rsidR="002F5211" w:rsidRPr="004E51D1" w:rsidRDefault="002F5211" w:rsidP="00796DA3">
      <w:pPr>
        <w:jc w:val="both"/>
        <w:rPr>
          <w:bCs/>
          <w:spacing w:val="-3"/>
          <w:sz w:val="28"/>
          <w:szCs w:val="28"/>
        </w:rPr>
      </w:pPr>
      <w:r w:rsidRPr="004E51D1">
        <w:rPr>
          <w:bCs/>
          <w:spacing w:val="-3"/>
          <w:sz w:val="28"/>
          <w:szCs w:val="28"/>
        </w:rPr>
        <w:t>По 0.2 мл и 0.4 мл препарата в шприцы из бесцветного стекла тип 1 ФСША.</w:t>
      </w:r>
    </w:p>
    <w:p w14:paraId="23620C03" w14:textId="77777777" w:rsidR="002F5211" w:rsidRPr="004E51D1" w:rsidRDefault="002F5211" w:rsidP="00796DA3">
      <w:pPr>
        <w:jc w:val="both"/>
        <w:rPr>
          <w:bCs/>
          <w:spacing w:val="-3"/>
          <w:sz w:val="28"/>
          <w:szCs w:val="28"/>
        </w:rPr>
      </w:pPr>
      <w:r w:rsidRPr="004E51D1">
        <w:rPr>
          <w:bCs/>
          <w:spacing w:val="-3"/>
          <w:sz w:val="28"/>
          <w:szCs w:val="28"/>
        </w:rPr>
        <w:t>По 1 шприцу помещают в пластиковый контейнер. По 1 контейнеру вместе с инструкцией по медицинскому применению на казахском и русском языках вкладывают в картонную пачку.</w:t>
      </w:r>
    </w:p>
    <w:p w14:paraId="03738ABD" w14:textId="77777777" w:rsidR="002F5211" w:rsidRPr="004E51D1" w:rsidRDefault="002F5211" w:rsidP="00796DA3">
      <w:pPr>
        <w:jc w:val="both"/>
        <w:rPr>
          <w:bCs/>
          <w:spacing w:val="-3"/>
          <w:sz w:val="28"/>
          <w:szCs w:val="28"/>
        </w:rPr>
      </w:pPr>
      <w:r w:rsidRPr="004E51D1">
        <w:rPr>
          <w:bCs/>
          <w:spacing w:val="-3"/>
          <w:sz w:val="28"/>
          <w:szCs w:val="28"/>
        </w:rPr>
        <w:t>По 2 шприца помещают в пластиковый контейнер. По 5 контейнеров вместе с инструкцией по медицинскому применению на казахском и русском языках вкладывают в картонную пачку.</w:t>
      </w:r>
    </w:p>
    <w:p w14:paraId="029E26A4" w14:textId="77777777" w:rsidR="00C64B91" w:rsidRPr="004E51D1" w:rsidRDefault="00C64B91" w:rsidP="00D80AD5">
      <w:pPr>
        <w:rPr>
          <w:b/>
          <w:sz w:val="28"/>
          <w:szCs w:val="28"/>
          <w:lang w:eastAsia="en-US"/>
        </w:rPr>
      </w:pPr>
    </w:p>
    <w:p w14:paraId="083D1AFA" w14:textId="77777777" w:rsidR="0036659C" w:rsidRPr="004E51D1" w:rsidRDefault="0036659C" w:rsidP="00D80AD5">
      <w:pPr>
        <w:rPr>
          <w:b/>
          <w:sz w:val="28"/>
          <w:szCs w:val="28"/>
          <w:lang w:eastAsia="en-US"/>
        </w:rPr>
      </w:pPr>
      <w:r w:rsidRPr="004E51D1">
        <w:rPr>
          <w:b/>
          <w:sz w:val="28"/>
          <w:szCs w:val="28"/>
          <w:lang w:eastAsia="en-US"/>
        </w:rPr>
        <w:t>Срок хранения</w:t>
      </w:r>
    </w:p>
    <w:p w14:paraId="2B40A18C" w14:textId="77777777" w:rsidR="0036659C" w:rsidRPr="004E51D1" w:rsidRDefault="00E56A6A" w:rsidP="00D80AD5">
      <w:pPr>
        <w:rPr>
          <w:sz w:val="28"/>
          <w:szCs w:val="28"/>
          <w:lang w:eastAsia="en-US"/>
        </w:rPr>
      </w:pPr>
      <w:r w:rsidRPr="004E51D1">
        <w:rPr>
          <w:sz w:val="28"/>
          <w:szCs w:val="28"/>
          <w:lang w:eastAsia="en-US"/>
        </w:rPr>
        <w:t>3</w:t>
      </w:r>
      <w:r w:rsidR="0036659C" w:rsidRPr="004E51D1">
        <w:rPr>
          <w:sz w:val="28"/>
          <w:szCs w:val="28"/>
          <w:lang w:eastAsia="en-US"/>
        </w:rPr>
        <w:t xml:space="preserve"> года</w:t>
      </w:r>
    </w:p>
    <w:p w14:paraId="69822F38" w14:textId="77777777" w:rsidR="00D55D37" w:rsidRPr="004E51D1" w:rsidRDefault="0036659C" w:rsidP="00D80AD5">
      <w:pPr>
        <w:rPr>
          <w:sz w:val="28"/>
          <w:szCs w:val="28"/>
          <w:lang w:eastAsia="en-US"/>
        </w:rPr>
      </w:pPr>
      <w:r w:rsidRPr="004E51D1">
        <w:rPr>
          <w:sz w:val="28"/>
          <w:szCs w:val="28"/>
          <w:lang w:eastAsia="en-US"/>
        </w:rPr>
        <w:t>Не применять по истечении срока годности!</w:t>
      </w:r>
    </w:p>
    <w:p w14:paraId="425A7137" w14:textId="77777777" w:rsidR="00D55D37" w:rsidRPr="004E51D1" w:rsidRDefault="00D55D37" w:rsidP="00D80AD5">
      <w:pPr>
        <w:jc w:val="both"/>
        <w:rPr>
          <w:b/>
          <w:bCs/>
          <w:spacing w:val="-3"/>
          <w:sz w:val="28"/>
          <w:szCs w:val="28"/>
        </w:rPr>
      </w:pPr>
    </w:p>
    <w:p w14:paraId="22B62280" w14:textId="77777777" w:rsidR="00D55D37" w:rsidRPr="004E51D1" w:rsidRDefault="00D55D37" w:rsidP="00D80AD5">
      <w:pPr>
        <w:jc w:val="both"/>
        <w:rPr>
          <w:b/>
          <w:bCs/>
          <w:i/>
          <w:spacing w:val="-3"/>
          <w:sz w:val="28"/>
          <w:szCs w:val="28"/>
        </w:rPr>
      </w:pPr>
      <w:r w:rsidRPr="004E51D1">
        <w:rPr>
          <w:b/>
          <w:bCs/>
          <w:i/>
          <w:spacing w:val="-3"/>
          <w:sz w:val="28"/>
          <w:szCs w:val="28"/>
        </w:rPr>
        <w:t>Условия хранения</w:t>
      </w:r>
    </w:p>
    <w:p w14:paraId="405641F8" w14:textId="77777777" w:rsidR="00D55D37" w:rsidRPr="004E51D1" w:rsidRDefault="00E56A6A" w:rsidP="00D80AD5">
      <w:pPr>
        <w:jc w:val="both"/>
        <w:rPr>
          <w:bCs/>
          <w:spacing w:val="-3"/>
          <w:sz w:val="28"/>
          <w:szCs w:val="28"/>
        </w:rPr>
      </w:pPr>
      <w:r w:rsidRPr="004E51D1">
        <w:rPr>
          <w:bCs/>
          <w:spacing w:val="-3"/>
          <w:sz w:val="28"/>
          <w:szCs w:val="28"/>
        </w:rPr>
        <w:t xml:space="preserve">Хранить в сухом, защищённом от </w:t>
      </w:r>
      <w:r w:rsidR="00D55D37" w:rsidRPr="004E51D1">
        <w:rPr>
          <w:bCs/>
          <w:spacing w:val="-3"/>
          <w:sz w:val="28"/>
          <w:szCs w:val="28"/>
        </w:rPr>
        <w:t>света м</w:t>
      </w:r>
      <w:r w:rsidRPr="004E51D1">
        <w:rPr>
          <w:bCs/>
          <w:spacing w:val="-3"/>
          <w:sz w:val="28"/>
          <w:szCs w:val="28"/>
        </w:rPr>
        <w:t xml:space="preserve">есте, при температуре не выше </w:t>
      </w:r>
      <w:r w:rsidR="00706A21" w:rsidRPr="004E51D1">
        <w:rPr>
          <w:bCs/>
          <w:spacing w:val="-3"/>
          <w:sz w:val="28"/>
          <w:szCs w:val="28"/>
        </w:rPr>
        <w:t xml:space="preserve">    </w:t>
      </w:r>
      <w:r w:rsidRPr="004E51D1">
        <w:rPr>
          <w:bCs/>
          <w:spacing w:val="-3"/>
          <w:sz w:val="28"/>
          <w:szCs w:val="28"/>
        </w:rPr>
        <w:t xml:space="preserve">30 </w:t>
      </w:r>
      <w:r w:rsidR="00D55D37" w:rsidRPr="004E51D1">
        <w:rPr>
          <w:bCs/>
          <w:spacing w:val="-3"/>
          <w:sz w:val="28"/>
          <w:szCs w:val="28"/>
        </w:rPr>
        <w:sym w:font="Symbol" w:char="F0B0"/>
      </w:r>
      <w:r w:rsidR="00D55D37" w:rsidRPr="004E51D1">
        <w:rPr>
          <w:bCs/>
          <w:spacing w:val="-3"/>
          <w:sz w:val="28"/>
          <w:szCs w:val="28"/>
        </w:rPr>
        <w:t>С.</w:t>
      </w:r>
    </w:p>
    <w:p w14:paraId="482DAD25" w14:textId="77777777" w:rsidR="00D55D37" w:rsidRPr="004E51D1" w:rsidRDefault="00D55D37" w:rsidP="00D80AD5">
      <w:pPr>
        <w:jc w:val="both"/>
        <w:rPr>
          <w:bCs/>
          <w:spacing w:val="-3"/>
          <w:sz w:val="28"/>
          <w:szCs w:val="28"/>
          <w:lang w:val="uk-UA"/>
        </w:rPr>
      </w:pPr>
      <w:r w:rsidRPr="004E51D1">
        <w:rPr>
          <w:bCs/>
          <w:spacing w:val="-3"/>
          <w:sz w:val="28"/>
          <w:szCs w:val="28"/>
        </w:rPr>
        <w:t xml:space="preserve">Хранить в </w:t>
      </w:r>
      <w:proofErr w:type="spellStart"/>
      <w:r w:rsidRPr="004E51D1">
        <w:rPr>
          <w:bCs/>
          <w:spacing w:val="-3"/>
          <w:sz w:val="28"/>
          <w:szCs w:val="28"/>
          <w:lang w:val="uk-UA"/>
        </w:rPr>
        <w:t>недоступном</w:t>
      </w:r>
      <w:proofErr w:type="spellEnd"/>
      <w:r w:rsidRPr="004E51D1">
        <w:rPr>
          <w:bCs/>
          <w:spacing w:val="-3"/>
          <w:sz w:val="28"/>
          <w:szCs w:val="28"/>
          <w:lang w:val="uk-UA"/>
        </w:rPr>
        <w:t xml:space="preserve"> для </w:t>
      </w:r>
      <w:proofErr w:type="spellStart"/>
      <w:r w:rsidRPr="004E51D1">
        <w:rPr>
          <w:bCs/>
          <w:spacing w:val="-3"/>
          <w:sz w:val="28"/>
          <w:szCs w:val="28"/>
          <w:lang w:val="uk-UA"/>
        </w:rPr>
        <w:t>детей</w:t>
      </w:r>
      <w:proofErr w:type="spellEnd"/>
      <w:r w:rsidRPr="004E51D1">
        <w:rPr>
          <w:bCs/>
          <w:spacing w:val="-3"/>
          <w:sz w:val="28"/>
          <w:szCs w:val="28"/>
          <w:lang w:val="uk-UA"/>
        </w:rPr>
        <w:t xml:space="preserve"> </w:t>
      </w:r>
      <w:proofErr w:type="spellStart"/>
      <w:r w:rsidRPr="004E51D1">
        <w:rPr>
          <w:bCs/>
          <w:spacing w:val="-3"/>
          <w:sz w:val="28"/>
          <w:szCs w:val="28"/>
          <w:lang w:val="uk-UA"/>
        </w:rPr>
        <w:t>месте</w:t>
      </w:r>
      <w:proofErr w:type="spellEnd"/>
      <w:r w:rsidRPr="004E51D1">
        <w:rPr>
          <w:bCs/>
          <w:spacing w:val="-3"/>
          <w:sz w:val="28"/>
          <w:szCs w:val="28"/>
          <w:lang w:val="uk-UA"/>
        </w:rPr>
        <w:t>!</w:t>
      </w:r>
    </w:p>
    <w:p w14:paraId="1B584D6B" w14:textId="77777777" w:rsidR="00D55D37" w:rsidRPr="004E51D1" w:rsidRDefault="00D55D37" w:rsidP="00D80AD5">
      <w:pPr>
        <w:jc w:val="both"/>
        <w:rPr>
          <w:b/>
          <w:bCs/>
          <w:spacing w:val="-3"/>
          <w:sz w:val="28"/>
          <w:szCs w:val="28"/>
          <w:lang w:val="uk-UA"/>
        </w:rPr>
      </w:pPr>
    </w:p>
    <w:p w14:paraId="259EC7B5" w14:textId="77777777" w:rsidR="00D55D37" w:rsidRPr="004E51D1" w:rsidRDefault="00D55D37" w:rsidP="00D80AD5">
      <w:pPr>
        <w:jc w:val="both"/>
        <w:rPr>
          <w:bCs/>
          <w:spacing w:val="-3"/>
          <w:sz w:val="28"/>
          <w:szCs w:val="28"/>
        </w:rPr>
      </w:pPr>
      <w:r w:rsidRPr="004E51D1">
        <w:rPr>
          <w:b/>
          <w:bCs/>
          <w:spacing w:val="-3"/>
          <w:sz w:val="28"/>
          <w:szCs w:val="28"/>
        </w:rPr>
        <w:t>Условия отпуска</w:t>
      </w:r>
      <w:r w:rsidR="006A5E53" w:rsidRPr="004E51D1">
        <w:rPr>
          <w:b/>
          <w:bCs/>
          <w:spacing w:val="-3"/>
          <w:sz w:val="28"/>
          <w:szCs w:val="28"/>
        </w:rPr>
        <w:t xml:space="preserve"> из аптек</w:t>
      </w:r>
    </w:p>
    <w:p w14:paraId="57602951" w14:textId="77777777" w:rsidR="00D55D37" w:rsidRPr="004E51D1" w:rsidRDefault="00D55D37" w:rsidP="00D80AD5">
      <w:pPr>
        <w:jc w:val="both"/>
        <w:rPr>
          <w:bCs/>
          <w:spacing w:val="-3"/>
          <w:sz w:val="28"/>
          <w:szCs w:val="28"/>
        </w:rPr>
      </w:pPr>
      <w:r w:rsidRPr="004E51D1">
        <w:rPr>
          <w:bCs/>
          <w:spacing w:val="-3"/>
          <w:sz w:val="28"/>
          <w:szCs w:val="28"/>
        </w:rPr>
        <w:t>По рецепту</w:t>
      </w:r>
      <w:r w:rsidRPr="004E51D1">
        <w:rPr>
          <w:bCs/>
          <w:spacing w:val="-3"/>
          <w:sz w:val="28"/>
          <w:szCs w:val="28"/>
        </w:rPr>
        <w:tab/>
      </w:r>
    </w:p>
    <w:p w14:paraId="1F1DFBF8" w14:textId="77777777" w:rsidR="00D55D37" w:rsidRPr="004E51D1" w:rsidRDefault="00D55D37" w:rsidP="00D80AD5">
      <w:pPr>
        <w:jc w:val="both"/>
        <w:rPr>
          <w:b/>
          <w:bCs/>
          <w:spacing w:val="-3"/>
          <w:sz w:val="28"/>
          <w:szCs w:val="28"/>
        </w:rPr>
      </w:pPr>
    </w:p>
    <w:p w14:paraId="5C581004" w14:textId="77777777" w:rsidR="00A07756" w:rsidRPr="004E51D1" w:rsidRDefault="006A5E53" w:rsidP="00D80AD5">
      <w:pPr>
        <w:jc w:val="both"/>
        <w:rPr>
          <w:b/>
          <w:sz w:val="28"/>
          <w:szCs w:val="28"/>
        </w:rPr>
      </w:pPr>
      <w:r w:rsidRPr="004E51D1">
        <w:rPr>
          <w:b/>
          <w:sz w:val="28"/>
          <w:szCs w:val="28"/>
        </w:rPr>
        <w:t>Сведения о производителе</w:t>
      </w:r>
    </w:p>
    <w:p w14:paraId="396B48C3" w14:textId="77777777" w:rsidR="00E56A6A" w:rsidRPr="006261FA" w:rsidRDefault="00E56A6A" w:rsidP="00D80AD5">
      <w:pPr>
        <w:jc w:val="both"/>
        <w:rPr>
          <w:bCs/>
          <w:iCs/>
          <w:sz w:val="28"/>
          <w:szCs w:val="28"/>
        </w:rPr>
      </w:pPr>
      <w:r w:rsidRPr="004E51D1">
        <w:rPr>
          <w:bCs/>
          <w:iCs/>
          <w:sz w:val="28"/>
          <w:szCs w:val="28"/>
          <w:lang w:val="en-US"/>
        </w:rPr>
        <w:lastRenderedPageBreak/>
        <w:t>Gland</w:t>
      </w:r>
      <w:r w:rsidRPr="006261FA">
        <w:rPr>
          <w:bCs/>
          <w:iCs/>
          <w:sz w:val="28"/>
          <w:szCs w:val="28"/>
        </w:rPr>
        <w:t xml:space="preserve"> </w:t>
      </w:r>
      <w:r w:rsidRPr="004E51D1">
        <w:rPr>
          <w:bCs/>
          <w:iCs/>
          <w:sz w:val="28"/>
          <w:szCs w:val="28"/>
          <w:lang w:val="en-US"/>
        </w:rPr>
        <w:t>Pharma</w:t>
      </w:r>
      <w:r w:rsidRPr="006261FA">
        <w:rPr>
          <w:bCs/>
          <w:iCs/>
          <w:sz w:val="28"/>
          <w:szCs w:val="28"/>
        </w:rPr>
        <w:t xml:space="preserve"> </w:t>
      </w:r>
      <w:r w:rsidRPr="004E51D1">
        <w:rPr>
          <w:bCs/>
          <w:iCs/>
          <w:sz w:val="28"/>
          <w:szCs w:val="28"/>
          <w:lang w:val="en-US"/>
        </w:rPr>
        <w:t>Limited</w:t>
      </w:r>
      <w:r w:rsidRPr="006261FA">
        <w:rPr>
          <w:bCs/>
          <w:iCs/>
          <w:sz w:val="28"/>
          <w:szCs w:val="28"/>
        </w:rPr>
        <w:t xml:space="preserve"> </w:t>
      </w:r>
    </w:p>
    <w:p w14:paraId="63D33C7A" w14:textId="77777777" w:rsidR="00E56A6A" w:rsidRPr="004E51D1" w:rsidRDefault="00E56A6A" w:rsidP="00D80AD5">
      <w:pPr>
        <w:jc w:val="both"/>
        <w:rPr>
          <w:bCs/>
          <w:iCs/>
          <w:sz w:val="28"/>
          <w:szCs w:val="28"/>
          <w:lang w:val="en-US"/>
        </w:rPr>
      </w:pPr>
      <w:r w:rsidRPr="004E51D1">
        <w:rPr>
          <w:bCs/>
          <w:iCs/>
          <w:sz w:val="28"/>
          <w:szCs w:val="28"/>
          <w:lang w:val="en-US"/>
        </w:rPr>
        <w:t xml:space="preserve">Sy No. 143-148, 150 &amp; 151, Near </w:t>
      </w:r>
      <w:proofErr w:type="spellStart"/>
      <w:r w:rsidRPr="004E51D1">
        <w:rPr>
          <w:bCs/>
          <w:iCs/>
          <w:sz w:val="28"/>
          <w:szCs w:val="28"/>
          <w:lang w:val="en-US"/>
        </w:rPr>
        <w:t>Gandimaisamma</w:t>
      </w:r>
      <w:proofErr w:type="spellEnd"/>
      <w:r w:rsidRPr="004E51D1">
        <w:rPr>
          <w:bCs/>
          <w:iCs/>
          <w:sz w:val="28"/>
          <w:szCs w:val="28"/>
          <w:lang w:val="en-US"/>
        </w:rPr>
        <w:t xml:space="preserve"> Cross Roads, D.P. Pally, </w:t>
      </w:r>
      <w:proofErr w:type="spellStart"/>
      <w:r w:rsidRPr="004E51D1">
        <w:rPr>
          <w:bCs/>
          <w:iCs/>
          <w:sz w:val="28"/>
          <w:szCs w:val="28"/>
          <w:lang w:val="en-US"/>
        </w:rPr>
        <w:t>Dundigal</w:t>
      </w:r>
      <w:proofErr w:type="spellEnd"/>
      <w:r w:rsidRPr="004E51D1">
        <w:rPr>
          <w:bCs/>
          <w:iCs/>
          <w:sz w:val="28"/>
          <w:szCs w:val="28"/>
          <w:lang w:val="en-US"/>
        </w:rPr>
        <w:t xml:space="preserve"> Post, </w:t>
      </w:r>
      <w:proofErr w:type="spellStart"/>
      <w:r w:rsidRPr="004E51D1">
        <w:rPr>
          <w:bCs/>
          <w:iCs/>
          <w:sz w:val="28"/>
          <w:szCs w:val="28"/>
          <w:lang w:val="en-US"/>
        </w:rPr>
        <w:t>Dundigal</w:t>
      </w:r>
      <w:proofErr w:type="spellEnd"/>
      <w:r w:rsidRPr="004E51D1">
        <w:rPr>
          <w:bCs/>
          <w:iCs/>
          <w:sz w:val="28"/>
          <w:szCs w:val="28"/>
          <w:lang w:val="en-US"/>
        </w:rPr>
        <w:t xml:space="preserve"> – </w:t>
      </w:r>
      <w:proofErr w:type="spellStart"/>
      <w:r w:rsidRPr="004E51D1">
        <w:rPr>
          <w:bCs/>
          <w:iCs/>
          <w:sz w:val="28"/>
          <w:szCs w:val="28"/>
          <w:lang w:val="en-US"/>
        </w:rPr>
        <w:t>Gandimaisamma</w:t>
      </w:r>
      <w:proofErr w:type="spellEnd"/>
      <w:r w:rsidRPr="004E51D1">
        <w:rPr>
          <w:bCs/>
          <w:iCs/>
          <w:sz w:val="28"/>
          <w:szCs w:val="28"/>
          <w:lang w:val="en-US"/>
        </w:rPr>
        <w:t xml:space="preserve"> Mandal, </w:t>
      </w:r>
      <w:proofErr w:type="spellStart"/>
      <w:r w:rsidRPr="004E51D1">
        <w:rPr>
          <w:bCs/>
          <w:iCs/>
          <w:sz w:val="28"/>
          <w:szCs w:val="28"/>
          <w:lang w:val="en-US"/>
        </w:rPr>
        <w:t>Medchal</w:t>
      </w:r>
      <w:proofErr w:type="spellEnd"/>
      <w:r w:rsidRPr="004E51D1">
        <w:rPr>
          <w:bCs/>
          <w:iCs/>
          <w:sz w:val="28"/>
          <w:szCs w:val="28"/>
          <w:lang w:val="en-US"/>
        </w:rPr>
        <w:t xml:space="preserve"> – </w:t>
      </w:r>
      <w:proofErr w:type="spellStart"/>
      <w:r w:rsidRPr="004E51D1">
        <w:rPr>
          <w:bCs/>
          <w:iCs/>
          <w:sz w:val="28"/>
          <w:szCs w:val="28"/>
          <w:lang w:val="en-US"/>
        </w:rPr>
        <w:t>Malkajgiri</w:t>
      </w:r>
      <w:proofErr w:type="spellEnd"/>
      <w:r w:rsidRPr="004E51D1">
        <w:rPr>
          <w:bCs/>
          <w:iCs/>
          <w:sz w:val="28"/>
          <w:szCs w:val="28"/>
          <w:lang w:val="en-US"/>
        </w:rPr>
        <w:t xml:space="preserve"> District, Hyderabad – 500 043, Telangana, </w:t>
      </w:r>
      <w:r w:rsidRPr="004E51D1">
        <w:rPr>
          <w:bCs/>
          <w:iCs/>
          <w:sz w:val="28"/>
          <w:szCs w:val="28"/>
        </w:rPr>
        <w:t>Индия</w:t>
      </w:r>
    </w:p>
    <w:p w14:paraId="39C3F3C8" w14:textId="77777777" w:rsidR="003D3C25" w:rsidRPr="004E51D1" w:rsidRDefault="003D3C25" w:rsidP="00D80AD5">
      <w:pPr>
        <w:jc w:val="both"/>
        <w:rPr>
          <w:sz w:val="28"/>
          <w:szCs w:val="28"/>
        </w:rPr>
      </w:pPr>
      <w:r w:rsidRPr="004E51D1">
        <w:rPr>
          <w:sz w:val="28"/>
          <w:szCs w:val="28"/>
        </w:rPr>
        <w:t>тел. +91-40-6662 1010/2340 2515, факс +91-40-2340 2229</w:t>
      </w:r>
    </w:p>
    <w:p w14:paraId="2D6C02DE" w14:textId="77777777" w:rsidR="00E56A6A" w:rsidRPr="004E51D1" w:rsidRDefault="003D3C25" w:rsidP="00D80AD5">
      <w:pPr>
        <w:jc w:val="both"/>
        <w:rPr>
          <w:sz w:val="28"/>
          <w:szCs w:val="28"/>
        </w:rPr>
      </w:pPr>
      <w:r w:rsidRPr="004E51D1">
        <w:rPr>
          <w:sz w:val="28"/>
          <w:szCs w:val="28"/>
        </w:rPr>
        <w:t xml:space="preserve">электронный адрес </w:t>
      </w:r>
      <w:hyperlink r:id="rId8" w:history="1">
        <w:r w:rsidRPr="004E51D1">
          <w:rPr>
            <w:rStyle w:val="ab"/>
            <w:sz w:val="28"/>
            <w:szCs w:val="28"/>
          </w:rPr>
          <w:t>gland@glandpharma.com</w:t>
        </w:r>
      </w:hyperlink>
    </w:p>
    <w:p w14:paraId="23B6D5DE" w14:textId="77777777" w:rsidR="003D3C25" w:rsidRPr="004E51D1" w:rsidRDefault="003D3C25" w:rsidP="00D80AD5">
      <w:pPr>
        <w:jc w:val="both"/>
        <w:rPr>
          <w:sz w:val="28"/>
          <w:szCs w:val="28"/>
        </w:rPr>
      </w:pPr>
    </w:p>
    <w:p w14:paraId="3837699C" w14:textId="77777777" w:rsidR="00E56A6A" w:rsidRPr="004E51D1" w:rsidRDefault="00E56A6A" w:rsidP="00D80AD5">
      <w:pPr>
        <w:jc w:val="both"/>
        <w:rPr>
          <w:b/>
          <w:bCs/>
          <w:sz w:val="28"/>
          <w:szCs w:val="28"/>
        </w:rPr>
      </w:pPr>
      <w:r w:rsidRPr="004E51D1">
        <w:rPr>
          <w:b/>
          <w:bCs/>
          <w:sz w:val="28"/>
          <w:szCs w:val="28"/>
        </w:rPr>
        <w:t xml:space="preserve">Держатель регистрационного удостоверения      </w:t>
      </w:r>
    </w:p>
    <w:p w14:paraId="40DB55D8" w14:textId="77777777" w:rsidR="00E56A6A" w:rsidRPr="004E51D1" w:rsidRDefault="00E56A6A" w:rsidP="00D80AD5">
      <w:pPr>
        <w:jc w:val="both"/>
        <w:rPr>
          <w:sz w:val="28"/>
          <w:szCs w:val="28"/>
        </w:rPr>
      </w:pPr>
      <w:r w:rsidRPr="004E51D1">
        <w:rPr>
          <w:sz w:val="28"/>
          <w:szCs w:val="28"/>
        </w:rPr>
        <w:t xml:space="preserve">ТОО </w:t>
      </w:r>
      <w:r w:rsidR="00D014B9" w:rsidRPr="004E51D1">
        <w:rPr>
          <w:sz w:val="28"/>
          <w:szCs w:val="28"/>
        </w:rPr>
        <w:t>«</w:t>
      </w:r>
      <w:r w:rsidRPr="004E51D1">
        <w:rPr>
          <w:sz w:val="28"/>
          <w:szCs w:val="28"/>
          <w:lang w:val="en-US"/>
        </w:rPr>
        <w:t>Rogers</w:t>
      </w:r>
      <w:r w:rsidRPr="004E51D1">
        <w:rPr>
          <w:sz w:val="28"/>
          <w:szCs w:val="28"/>
        </w:rPr>
        <w:t xml:space="preserve"> </w:t>
      </w:r>
      <w:r w:rsidRPr="004E51D1">
        <w:rPr>
          <w:sz w:val="28"/>
          <w:szCs w:val="28"/>
          <w:lang w:val="en-US"/>
        </w:rPr>
        <w:t>Pharma</w:t>
      </w:r>
      <w:r w:rsidR="00D014B9" w:rsidRPr="004E51D1">
        <w:rPr>
          <w:sz w:val="28"/>
          <w:szCs w:val="28"/>
        </w:rPr>
        <w:t>»</w:t>
      </w:r>
      <w:r w:rsidRPr="004E51D1">
        <w:rPr>
          <w:sz w:val="28"/>
          <w:szCs w:val="28"/>
        </w:rPr>
        <w:t>, Казахстан</w:t>
      </w:r>
    </w:p>
    <w:p w14:paraId="397926F2" w14:textId="77777777" w:rsidR="003D3C25" w:rsidRPr="004E51D1" w:rsidRDefault="003D3C25" w:rsidP="00D80AD5">
      <w:pPr>
        <w:jc w:val="both"/>
        <w:rPr>
          <w:bCs/>
          <w:iCs/>
          <w:sz w:val="28"/>
          <w:szCs w:val="28"/>
        </w:rPr>
      </w:pPr>
      <w:r w:rsidRPr="004E51D1">
        <w:rPr>
          <w:bCs/>
          <w:iCs/>
          <w:sz w:val="28"/>
          <w:szCs w:val="28"/>
        </w:rPr>
        <w:t>050</w:t>
      </w:r>
      <w:r w:rsidR="002F5211" w:rsidRPr="004E51D1">
        <w:rPr>
          <w:bCs/>
          <w:iCs/>
          <w:sz w:val="28"/>
          <w:szCs w:val="28"/>
        </w:rPr>
        <w:t xml:space="preserve">043, г.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819</w:t>
      </w:r>
    </w:p>
    <w:p w14:paraId="77D7E5D5" w14:textId="77777777" w:rsidR="000C1307" w:rsidRPr="004E51D1" w:rsidRDefault="003D3C25" w:rsidP="00D80AD5">
      <w:pPr>
        <w:jc w:val="both"/>
        <w:rPr>
          <w:bCs/>
          <w:iCs/>
          <w:sz w:val="28"/>
          <w:szCs w:val="28"/>
          <w:lang w:val="en-US"/>
        </w:rPr>
      </w:pPr>
      <w:r w:rsidRPr="004E51D1">
        <w:rPr>
          <w:bCs/>
          <w:iCs/>
          <w:sz w:val="28"/>
          <w:szCs w:val="28"/>
        </w:rPr>
        <w:t>Тел</w:t>
      </w:r>
      <w:r w:rsidRPr="004E51D1">
        <w:rPr>
          <w:bCs/>
          <w:iCs/>
          <w:sz w:val="28"/>
          <w:szCs w:val="28"/>
          <w:lang w:val="en-US"/>
        </w:rPr>
        <w:t xml:space="preserve">. (727) 311-81-96/97, e-mail: </w:t>
      </w:r>
      <w:hyperlink r:id="rId9" w:history="1">
        <w:r w:rsidR="00796DA3" w:rsidRPr="004E51D1">
          <w:rPr>
            <w:rStyle w:val="ab"/>
            <w:bCs/>
            <w:iCs/>
            <w:sz w:val="28"/>
            <w:szCs w:val="28"/>
            <w:lang w:val="en-US"/>
          </w:rPr>
          <w:t>office.secretary@rogersgroup.in</w:t>
        </w:r>
      </w:hyperlink>
    </w:p>
    <w:p w14:paraId="30990701" w14:textId="77777777" w:rsidR="00796DA3" w:rsidRPr="004E51D1" w:rsidRDefault="00796DA3" w:rsidP="00D80AD5">
      <w:pPr>
        <w:jc w:val="both"/>
        <w:rPr>
          <w:bCs/>
          <w:iCs/>
          <w:sz w:val="28"/>
          <w:szCs w:val="28"/>
          <w:lang w:val="en-US"/>
        </w:rPr>
      </w:pPr>
    </w:p>
    <w:p w14:paraId="79AE771E" w14:textId="77777777" w:rsidR="000C1307" w:rsidRPr="004E51D1" w:rsidRDefault="000C1307" w:rsidP="00D80AD5">
      <w:pPr>
        <w:jc w:val="both"/>
        <w:rPr>
          <w:b/>
          <w:sz w:val="28"/>
          <w:szCs w:val="28"/>
        </w:rPr>
      </w:pPr>
      <w:r w:rsidRPr="004E51D1">
        <w:rPr>
          <w:b/>
          <w:iCs/>
          <w:sz w:val="28"/>
          <w:szCs w:val="28"/>
          <w:lang w:val="kk-KZ"/>
        </w:rPr>
        <w:t xml:space="preserve">Наименование, адрес и контактные данные  (телефон,  факс,  электронная  почта) организации </w:t>
      </w:r>
      <w:r w:rsidRPr="004E51D1">
        <w:rPr>
          <w:b/>
          <w:iCs/>
          <w:sz w:val="28"/>
          <w:szCs w:val="28"/>
        </w:rPr>
        <w:t>на территории Республики Казахстан, принимающей претензии (предложения)  по качеству лекарственных  средств  от потребителей</w:t>
      </w:r>
      <w:r w:rsidRPr="004E51D1">
        <w:rPr>
          <w:b/>
          <w:sz w:val="28"/>
          <w:szCs w:val="28"/>
          <w:lang w:val="de-DE"/>
        </w:rPr>
        <w:t xml:space="preserve"> </w:t>
      </w:r>
    </w:p>
    <w:p w14:paraId="351CBE39" w14:textId="77777777" w:rsidR="000C1307" w:rsidRPr="004E51D1" w:rsidRDefault="00E56A6A" w:rsidP="00D80AD5">
      <w:pPr>
        <w:jc w:val="both"/>
        <w:rPr>
          <w:bCs/>
          <w:iCs/>
          <w:sz w:val="28"/>
          <w:szCs w:val="28"/>
        </w:rPr>
      </w:pPr>
      <w:r w:rsidRPr="004E51D1">
        <w:rPr>
          <w:bCs/>
          <w:iCs/>
          <w:sz w:val="28"/>
          <w:szCs w:val="28"/>
        </w:rPr>
        <w:t xml:space="preserve">ТОО </w:t>
      </w:r>
      <w:r w:rsidR="00D014B9" w:rsidRPr="004E51D1">
        <w:rPr>
          <w:bCs/>
          <w:iCs/>
          <w:sz w:val="28"/>
          <w:szCs w:val="28"/>
        </w:rPr>
        <w:t>«</w:t>
      </w:r>
      <w:r w:rsidRPr="004E51D1">
        <w:rPr>
          <w:bCs/>
          <w:iCs/>
          <w:sz w:val="28"/>
          <w:szCs w:val="28"/>
          <w:lang w:val="en-US"/>
        </w:rPr>
        <w:t>Rogers</w:t>
      </w:r>
      <w:r w:rsidRPr="004E51D1">
        <w:rPr>
          <w:bCs/>
          <w:iCs/>
          <w:sz w:val="28"/>
          <w:szCs w:val="28"/>
        </w:rPr>
        <w:t xml:space="preserve"> </w:t>
      </w:r>
      <w:r w:rsidRPr="004E51D1">
        <w:rPr>
          <w:bCs/>
          <w:iCs/>
          <w:sz w:val="28"/>
          <w:szCs w:val="28"/>
          <w:lang w:val="en-US"/>
        </w:rPr>
        <w:t>Pharma</w:t>
      </w:r>
      <w:r w:rsidR="00AB1F61" w:rsidRPr="004E51D1">
        <w:rPr>
          <w:bCs/>
          <w:iCs/>
          <w:sz w:val="28"/>
          <w:szCs w:val="28"/>
        </w:rPr>
        <w:t>»</w:t>
      </w:r>
      <w:r w:rsidRPr="004E51D1">
        <w:rPr>
          <w:bCs/>
          <w:iCs/>
          <w:sz w:val="28"/>
          <w:szCs w:val="28"/>
        </w:rPr>
        <w:t xml:space="preserve">, </w:t>
      </w:r>
      <w:r w:rsidR="00AB1F61" w:rsidRPr="004E51D1">
        <w:rPr>
          <w:bCs/>
          <w:iCs/>
          <w:sz w:val="28"/>
          <w:szCs w:val="28"/>
        </w:rPr>
        <w:t xml:space="preserve">Казахстан, </w:t>
      </w:r>
      <w:r w:rsidRPr="004E51D1">
        <w:rPr>
          <w:bCs/>
          <w:iCs/>
          <w:sz w:val="28"/>
          <w:szCs w:val="28"/>
        </w:rPr>
        <w:t>050</w:t>
      </w:r>
      <w:r w:rsidR="002F5211" w:rsidRPr="004E51D1">
        <w:rPr>
          <w:bCs/>
          <w:iCs/>
          <w:sz w:val="28"/>
          <w:szCs w:val="28"/>
        </w:rPr>
        <w:t xml:space="preserve">043, г.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xml:space="preserve">. 819. </w:t>
      </w:r>
      <w:r w:rsidRPr="004E51D1">
        <w:rPr>
          <w:bCs/>
          <w:iCs/>
          <w:sz w:val="28"/>
          <w:szCs w:val="28"/>
        </w:rPr>
        <w:t xml:space="preserve">Тел. (727) 311-81-96/97, </w:t>
      </w:r>
      <w:r w:rsidRPr="004E51D1">
        <w:rPr>
          <w:bCs/>
          <w:iCs/>
          <w:sz w:val="28"/>
          <w:szCs w:val="28"/>
          <w:lang w:val="en-US"/>
        </w:rPr>
        <w:t>e</w:t>
      </w:r>
      <w:r w:rsidRPr="004E51D1">
        <w:rPr>
          <w:bCs/>
          <w:iCs/>
          <w:sz w:val="28"/>
          <w:szCs w:val="28"/>
        </w:rPr>
        <w:t>-</w:t>
      </w:r>
      <w:r w:rsidRPr="004E51D1">
        <w:rPr>
          <w:bCs/>
          <w:iCs/>
          <w:sz w:val="28"/>
          <w:szCs w:val="28"/>
          <w:lang w:val="en-US"/>
        </w:rPr>
        <w:t>mail</w:t>
      </w:r>
      <w:r w:rsidRPr="004E51D1">
        <w:rPr>
          <w:bCs/>
          <w:iCs/>
          <w:sz w:val="28"/>
          <w:szCs w:val="28"/>
        </w:rPr>
        <w:t xml:space="preserve">: </w:t>
      </w:r>
      <w:hyperlink r:id="rId10" w:history="1">
        <w:r w:rsidR="008B5E8D" w:rsidRPr="004E51D1">
          <w:rPr>
            <w:rStyle w:val="ab"/>
            <w:bCs/>
            <w:iCs/>
            <w:sz w:val="28"/>
            <w:szCs w:val="28"/>
            <w:lang w:val="en-US"/>
          </w:rPr>
          <w:t>office</w:t>
        </w:r>
        <w:r w:rsidR="008B5E8D" w:rsidRPr="004E51D1">
          <w:rPr>
            <w:rStyle w:val="ab"/>
            <w:bCs/>
            <w:iCs/>
            <w:sz w:val="28"/>
            <w:szCs w:val="28"/>
          </w:rPr>
          <w:t>.</w:t>
        </w:r>
        <w:r w:rsidR="008B5E8D" w:rsidRPr="004E51D1">
          <w:rPr>
            <w:rStyle w:val="ab"/>
            <w:bCs/>
            <w:iCs/>
            <w:sz w:val="28"/>
            <w:szCs w:val="28"/>
            <w:lang w:val="en-US"/>
          </w:rPr>
          <w:t>secretary</w:t>
        </w:r>
        <w:r w:rsidR="008B5E8D" w:rsidRPr="004E51D1">
          <w:rPr>
            <w:rStyle w:val="ab"/>
            <w:bCs/>
            <w:iCs/>
            <w:sz w:val="28"/>
            <w:szCs w:val="28"/>
          </w:rPr>
          <w:t>@</w:t>
        </w:r>
        <w:proofErr w:type="spellStart"/>
        <w:r w:rsidR="008B5E8D" w:rsidRPr="004E51D1">
          <w:rPr>
            <w:rStyle w:val="ab"/>
            <w:bCs/>
            <w:iCs/>
            <w:sz w:val="28"/>
            <w:szCs w:val="28"/>
            <w:lang w:val="en-US"/>
          </w:rPr>
          <w:t>rogersgroup</w:t>
        </w:r>
        <w:proofErr w:type="spellEnd"/>
        <w:r w:rsidR="008B5E8D" w:rsidRPr="004E51D1">
          <w:rPr>
            <w:rStyle w:val="ab"/>
            <w:bCs/>
            <w:iCs/>
            <w:sz w:val="28"/>
            <w:szCs w:val="28"/>
          </w:rPr>
          <w:t>.</w:t>
        </w:r>
        <w:r w:rsidR="008B5E8D" w:rsidRPr="004E51D1">
          <w:rPr>
            <w:rStyle w:val="ab"/>
            <w:bCs/>
            <w:iCs/>
            <w:sz w:val="28"/>
            <w:szCs w:val="28"/>
            <w:lang w:val="en-US"/>
          </w:rPr>
          <w:t>in</w:t>
        </w:r>
      </w:hyperlink>
    </w:p>
    <w:p w14:paraId="2ABA6228" w14:textId="77777777" w:rsidR="008B5E8D" w:rsidRPr="004E51D1" w:rsidRDefault="008B5E8D" w:rsidP="00D80AD5">
      <w:pPr>
        <w:jc w:val="both"/>
        <w:rPr>
          <w:bCs/>
          <w:iCs/>
          <w:sz w:val="28"/>
          <w:szCs w:val="28"/>
        </w:rPr>
      </w:pPr>
    </w:p>
    <w:p w14:paraId="4B545D04" w14:textId="77777777" w:rsidR="000C1307" w:rsidRPr="004E51D1" w:rsidRDefault="000C1307" w:rsidP="00D80AD5">
      <w:pPr>
        <w:jc w:val="both"/>
        <w:rPr>
          <w:b/>
          <w:bCs/>
          <w:iCs/>
          <w:sz w:val="28"/>
          <w:szCs w:val="28"/>
        </w:rPr>
      </w:pPr>
      <w:r w:rsidRPr="004E51D1">
        <w:rPr>
          <w:b/>
          <w:bCs/>
          <w:iCs/>
          <w:sz w:val="28"/>
          <w:szCs w:val="28"/>
          <w:lang w:val="kk-KZ"/>
        </w:rPr>
        <w:t xml:space="preserve">Наименование, адрес и контактные данные  (телефон,  факс,  электронная  почта) организации </w:t>
      </w:r>
      <w:r w:rsidRPr="004E51D1">
        <w:rPr>
          <w:b/>
          <w:bCs/>
          <w:iCs/>
          <w:sz w:val="28"/>
          <w:szCs w:val="28"/>
        </w:rPr>
        <w:t xml:space="preserve">на территории Республики Казахстан, </w:t>
      </w:r>
      <w:proofErr w:type="spellStart"/>
      <w:r w:rsidRPr="004E51D1">
        <w:rPr>
          <w:b/>
          <w:bCs/>
          <w:iCs/>
          <w:sz w:val="28"/>
          <w:szCs w:val="28"/>
          <w:lang w:val="de-DE"/>
        </w:rPr>
        <w:t>ответственной</w:t>
      </w:r>
      <w:proofErr w:type="spellEnd"/>
      <w:r w:rsidRPr="004E51D1">
        <w:rPr>
          <w:b/>
          <w:bCs/>
          <w:iCs/>
          <w:sz w:val="28"/>
          <w:szCs w:val="28"/>
          <w:lang w:val="de-DE"/>
        </w:rPr>
        <w:t xml:space="preserve"> </w:t>
      </w:r>
      <w:proofErr w:type="spellStart"/>
      <w:r w:rsidRPr="004E51D1">
        <w:rPr>
          <w:b/>
          <w:bCs/>
          <w:iCs/>
          <w:sz w:val="28"/>
          <w:szCs w:val="28"/>
          <w:lang w:val="de-DE"/>
        </w:rPr>
        <w:t>за</w:t>
      </w:r>
      <w:proofErr w:type="spellEnd"/>
      <w:r w:rsidRPr="004E51D1">
        <w:rPr>
          <w:b/>
          <w:bCs/>
          <w:iCs/>
          <w:sz w:val="28"/>
          <w:szCs w:val="28"/>
          <w:lang w:val="de-DE"/>
        </w:rPr>
        <w:t xml:space="preserve"> </w:t>
      </w:r>
      <w:proofErr w:type="spellStart"/>
      <w:r w:rsidRPr="004E51D1">
        <w:rPr>
          <w:b/>
          <w:bCs/>
          <w:iCs/>
          <w:sz w:val="28"/>
          <w:szCs w:val="28"/>
          <w:lang w:val="de-DE"/>
        </w:rPr>
        <w:t>пострегистрационное</w:t>
      </w:r>
      <w:proofErr w:type="spellEnd"/>
      <w:r w:rsidRPr="004E51D1">
        <w:rPr>
          <w:b/>
          <w:bCs/>
          <w:iCs/>
          <w:sz w:val="28"/>
          <w:szCs w:val="28"/>
          <w:lang w:val="de-DE"/>
        </w:rPr>
        <w:t xml:space="preserve"> </w:t>
      </w:r>
      <w:proofErr w:type="spellStart"/>
      <w:r w:rsidRPr="004E51D1">
        <w:rPr>
          <w:b/>
          <w:bCs/>
          <w:iCs/>
          <w:sz w:val="28"/>
          <w:szCs w:val="28"/>
          <w:lang w:val="de-DE"/>
        </w:rPr>
        <w:t>наблюдение</w:t>
      </w:r>
      <w:proofErr w:type="spellEnd"/>
      <w:r w:rsidRPr="004E51D1">
        <w:rPr>
          <w:b/>
          <w:bCs/>
          <w:iCs/>
          <w:sz w:val="28"/>
          <w:szCs w:val="28"/>
          <w:lang w:val="de-DE"/>
        </w:rPr>
        <w:t xml:space="preserve"> </w:t>
      </w:r>
      <w:proofErr w:type="spellStart"/>
      <w:r w:rsidRPr="004E51D1">
        <w:rPr>
          <w:b/>
          <w:bCs/>
          <w:iCs/>
          <w:sz w:val="28"/>
          <w:szCs w:val="28"/>
          <w:lang w:val="de-DE"/>
        </w:rPr>
        <w:t>за</w:t>
      </w:r>
      <w:proofErr w:type="spellEnd"/>
      <w:r w:rsidRPr="004E51D1">
        <w:rPr>
          <w:b/>
          <w:bCs/>
          <w:iCs/>
          <w:sz w:val="28"/>
          <w:szCs w:val="28"/>
          <w:lang w:val="de-DE"/>
        </w:rPr>
        <w:t xml:space="preserve"> </w:t>
      </w:r>
      <w:proofErr w:type="spellStart"/>
      <w:r w:rsidRPr="004E51D1">
        <w:rPr>
          <w:b/>
          <w:bCs/>
          <w:iCs/>
          <w:sz w:val="28"/>
          <w:szCs w:val="28"/>
          <w:lang w:val="de-DE"/>
        </w:rPr>
        <w:t>безопасностью</w:t>
      </w:r>
      <w:proofErr w:type="spellEnd"/>
      <w:r w:rsidRPr="004E51D1">
        <w:rPr>
          <w:b/>
          <w:bCs/>
          <w:iCs/>
          <w:sz w:val="28"/>
          <w:szCs w:val="28"/>
          <w:lang w:val="de-DE"/>
        </w:rPr>
        <w:t xml:space="preserve"> </w:t>
      </w:r>
      <w:proofErr w:type="spellStart"/>
      <w:r w:rsidRPr="004E51D1">
        <w:rPr>
          <w:b/>
          <w:bCs/>
          <w:iCs/>
          <w:sz w:val="28"/>
          <w:szCs w:val="28"/>
          <w:lang w:val="de-DE"/>
        </w:rPr>
        <w:t>лекарственного</w:t>
      </w:r>
      <w:proofErr w:type="spellEnd"/>
      <w:r w:rsidRPr="004E51D1">
        <w:rPr>
          <w:b/>
          <w:bCs/>
          <w:iCs/>
          <w:sz w:val="28"/>
          <w:szCs w:val="28"/>
          <w:lang w:val="de-DE"/>
        </w:rPr>
        <w:t xml:space="preserve"> </w:t>
      </w:r>
      <w:proofErr w:type="spellStart"/>
      <w:r w:rsidRPr="004E51D1">
        <w:rPr>
          <w:b/>
          <w:bCs/>
          <w:iCs/>
          <w:sz w:val="28"/>
          <w:szCs w:val="28"/>
          <w:lang w:val="de-DE"/>
        </w:rPr>
        <w:t>средства</w:t>
      </w:r>
      <w:proofErr w:type="spellEnd"/>
      <w:r w:rsidRPr="004E51D1">
        <w:rPr>
          <w:b/>
          <w:bCs/>
          <w:iCs/>
          <w:sz w:val="28"/>
          <w:szCs w:val="28"/>
          <w:lang w:val="de-DE"/>
        </w:rPr>
        <w:t xml:space="preserve"> </w:t>
      </w:r>
    </w:p>
    <w:p w14:paraId="7E813D0A" w14:textId="77777777" w:rsidR="00C43383" w:rsidRPr="004E51D1" w:rsidRDefault="00E56A6A" w:rsidP="00D80AD5">
      <w:pPr>
        <w:jc w:val="both"/>
        <w:rPr>
          <w:bCs/>
          <w:iCs/>
          <w:sz w:val="28"/>
          <w:szCs w:val="28"/>
        </w:rPr>
      </w:pPr>
      <w:r w:rsidRPr="004E51D1">
        <w:rPr>
          <w:bCs/>
          <w:iCs/>
          <w:sz w:val="28"/>
          <w:szCs w:val="28"/>
        </w:rPr>
        <w:t xml:space="preserve">ТОО </w:t>
      </w:r>
      <w:r w:rsidR="00D014B9" w:rsidRPr="004E51D1">
        <w:rPr>
          <w:bCs/>
          <w:iCs/>
          <w:sz w:val="28"/>
          <w:szCs w:val="28"/>
        </w:rPr>
        <w:t>«</w:t>
      </w:r>
      <w:r w:rsidRPr="004E51D1">
        <w:rPr>
          <w:bCs/>
          <w:iCs/>
          <w:sz w:val="28"/>
          <w:szCs w:val="28"/>
          <w:lang w:val="en-US"/>
        </w:rPr>
        <w:t>Rogers</w:t>
      </w:r>
      <w:r w:rsidRPr="004E51D1">
        <w:rPr>
          <w:bCs/>
          <w:iCs/>
          <w:sz w:val="28"/>
          <w:szCs w:val="28"/>
        </w:rPr>
        <w:t xml:space="preserve"> </w:t>
      </w:r>
      <w:r w:rsidRPr="004E51D1">
        <w:rPr>
          <w:bCs/>
          <w:iCs/>
          <w:sz w:val="28"/>
          <w:szCs w:val="28"/>
          <w:lang w:val="en-US"/>
        </w:rPr>
        <w:t>Pharma</w:t>
      </w:r>
      <w:r w:rsidR="00D014B9" w:rsidRPr="004E51D1">
        <w:rPr>
          <w:bCs/>
          <w:iCs/>
          <w:sz w:val="28"/>
          <w:szCs w:val="28"/>
        </w:rPr>
        <w:t>»</w:t>
      </w:r>
      <w:r w:rsidRPr="004E51D1">
        <w:rPr>
          <w:bCs/>
          <w:iCs/>
          <w:sz w:val="28"/>
          <w:szCs w:val="28"/>
        </w:rPr>
        <w:t>, Казахстан, 050043, г</w:t>
      </w:r>
      <w:r w:rsidR="002F5211" w:rsidRPr="004E51D1">
        <w:rPr>
          <w:bCs/>
          <w:iCs/>
          <w:sz w:val="28"/>
          <w:szCs w:val="28"/>
        </w:rPr>
        <w:t xml:space="preserve">. Алматы, мкн. </w:t>
      </w:r>
      <w:proofErr w:type="spellStart"/>
      <w:r w:rsidR="002F5211" w:rsidRPr="004E51D1">
        <w:rPr>
          <w:bCs/>
          <w:iCs/>
          <w:sz w:val="28"/>
          <w:szCs w:val="28"/>
        </w:rPr>
        <w:t>Мирас</w:t>
      </w:r>
      <w:proofErr w:type="spellEnd"/>
      <w:r w:rsidR="002F5211" w:rsidRPr="004E51D1">
        <w:rPr>
          <w:bCs/>
          <w:iCs/>
          <w:sz w:val="28"/>
          <w:szCs w:val="28"/>
        </w:rPr>
        <w:t xml:space="preserve">, 157, </w:t>
      </w:r>
      <w:proofErr w:type="spellStart"/>
      <w:r w:rsidR="002F5211" w:rsidRPr="004E51D1">
        <w:rPr>
          <w:bCs/>
          <w:iCs/>
          <w:sz w:val="28"/>
          <w:szCs w:val="28"/>
        </w:rPr>
        <w:t>н.п</w:t>
      </w:r>
      <w:proofErr w:type="spellEnd"/>
      <w:r w:rsidR="002F5211" w:rsidRPr="004E51D1">
        <w:rPr>
          <w:bCs/>
          <w:iCs/>
          <w:sz w:val="28"/>
          <w:szCs w:val="28"/>
        </w:rPr>
        <w:t xml:space="preserve">. 819. </w:t>
      </w:r>
      <w:r w:rsidRPr="004E51D1">
        <w:rPr>
          <w:bCs/>
          <w:iCs/>
          <w:sz w:val="28"/>
          <w:szCs w:val="28"/>
        </w:rPr>
        <w:t xml:space="preserve">Тел. (727) 311-81-96/97, </w:t>
      </w:r>
    </w:p>
    <w:p w14:paraId="3F0F99A0" w14:textId="77777777" w:rsidR="00C43383" w:rsidRPr="004E51D1" w:rsidRDefault="00C43383" w:rsidP="00D80AD5">
      <w:pPr>
        <w:jc w:val="both"/>
        <w:rPr>
          <w:bCs/>
          <w:iCs/>
          <w:sz w:val="28"/>
          <w:szCs w:val="28"/>
        </w:rPr>
      </w:pPr>
      <w:r w:rsidRPr="004E51D1">
        <w:rPr>
          <w:bCs/>
          <w:iCs/>
          <w:sz w:val="28"/>
          <w:szCs w:val="28"/>
        </w:rPr>
        <w:t>Телефон с 24-х часовой доступностью: + 77479911904</w:t>
      </w:r>
    </w:p>
    <w:p w14:paraId="548565AB" w14:textId="77777777" w:rsidR="00E56A6A" w:rsidRPr="006261FA" w:rsidRDefault="00E56A6A" w:rsidP="00D80AD5">
      <w:pPr>
        <w:jc w:val="both"/>
        <w:rPr>
          <w:bCs/>
          <w:iCs/>
          <w:sz w:val="28"/>
          <w:szCs w:val="28"/>
        </w:rPr>
      </w:pPr>
      <w:r w:rsidRPr="004E51D1">
        <w:rPr>
          <w:bCs/>
          <w:iCs/>
          <w:sz w:val="28"/>
          <w:szCs w:val="28"/>
          <w:lang w:val="en-US"/>
        </w:rPr>
        <w:t>e</w:t>
      </w:r>
      <w:r w:rsidRPr="006261FA">
        <w:rPr>
          <w:bCs/>
          <w:iCs/>
          <w:sz w:val="28"/>
          <w:szCs w:val="28"/>
        </w:rPr>
        <w:t>-</w:t>
      </w:r>
      <w:r w:rsidRPr="004E51D1">
        <w:rPr>
          <w:bCs/>
          <w:iCs/>
          <w:sz w:val="28"/>
          <w:szCs w:val="28"/>
          <w:lang w:val="en-US"/>
        </w:rPr>
        <w:t>mail</w:t>
      </w:r>
      <w:r w:rsidRPr="006261FA">
        <w:rPr>
          <w:bCs/>
          <w:iCs/>
          <w:sz w:val="28"/>
          <w:szCs w:val="28"/>
        </w:rPr>
        <w:t>:</w:t>
      </w:r>
      <w:r w:rsidR="008B5E8D" w:rsidRPr="006261FA">
        <w:t xml:space="preserve"> </w:t>
      </w:r>
      <w:hyperlink r:id="rId11" w:history="1">
        <w:r w:rsidR="008B5E8D" w:rsidRPr="004E51D1">
          <w:rPr>
            <w:rStyle w:val="ab"/>
            <w:bCs/>
            <w:iCs/>
            <w:sz w:val="28"/>
            <w:szCs w:val="28"/>
            <w:lang w:val="en-US"/>
          </w:rPr>
          <w:t>pharmacovigilance</w:t>
        </w:r>
        <w:r w:rsidR="008B5E8D" w:rsidRPr="006261FA">
          <w:rPr>
            <w:rStyle w:val="ab"/>
            <w:bCs/>
            <w:iCs/>
            <w:sz w:val="28"/>
            <w:szCs w:val="28"/>
          </w:rPr>
          <w:t>@</w:t>
        </w:r>
        <w:proofErr w:type="spellStart"/>
        <w:r w:rsidR="008B5E8D" w:rsidRPr="004E51D1">
          <w:rPr>
            <w:rStyle w:val="ab"/>
            <w:bCs/>
            <w:iCs/>
            <w:sz w:val="28"/>
            <w:szCs w:val="28"/>
            <w:lang w:val="en-US"/>
          </w:rPr>
          <w:t>rogerspharma</w:t>
        </w:r>
        <w:proofErr w:type="spellEnd"/>
        <w:r w:rsidR="008B5E8D" w:rsidRPr="006261FA">
          <w:rPr>
            <w:rStyle w:val="ab"/>
            <w:bCs/>
            <w:iCs/>
            <w:sz w:val="28"/>
            <w:szCs w:val="28"/>
          </w:rPr>
          <w:t>.</w:t>
        </w:r>
        <w:proofErr w:type="spellStart"/>
        <w:r w:rsidR="008B5E8D" w:rsidRPr="004E51D1">
          <w:rPr>
            <w:rStyle w:val="ab"/>
            <w:bCs/>
            <w:iCs/>
            <w:sz w:val="28"/>
            <w:szCs w:val="28"/>
            <w:lang w:val="en-US"/>
          </w:rPr>
          <w:t>kz</w:t>
        </w:r>
        <w:proofErr w:type="spellEnd"/>
      </w:hyperlink>
      <w:r w:rsidR="003946C3" w:rsidRPr="006261FA">
        <w:rPr>
          <w:bCs/>
          <w:iCs/>
          <w:sz w:val="28"/>
          <w:szCs w:val="28"/>
        </w:rPr>
        <w:t xml:space="preserve"> </w:t>
      </w:r>
    </w:p>
    <w:p w14:paraId="1C9A2318" w14:textId="77777777" w:rsidR="00796DA3" w:rsidRPr="006261FA" w:rsidRDefault="00796DA3" w:rsidP="00D80AD5">
      <w:pPr>
        <w:jc w:val="both"/>
        <w:rPr>
          <w:bCs/>
          <w:iCs/>
          <w:sz w:val="28"/>
          <w:szCs w:val="28"/>
        </w:rPr>
      </w:pPr>
    </w:p>
    <w:p w14:paraId="60411E9E" w14:textId="77777777" w:rsidR="000C1307" w:rsidRPr="006261FA" w:rsidRDefault="000C1307" w:rsidP="00D80AD5">
      <w:pPr>
        <w:jc w:val="both"/>
        <w:rPr>
          <w:sz w:val="28"/>
          <w:szCs w:val="28"/>
        </w:rPr>
      </w:pPr>
    </w:p>
    <w:p w14:paraId="3D407781" w14:textId="77777777" w:rsidR="00E12CF6" w:rsidRPr="006261FA" w:rsidRDefault="00E12CF6"/>
    <w:p w14:paraId="6D355D1D" w14:textId="1DFD14E6" w:rsidR="004E21B0" w:rsidRDefault="004E21B0"/>
    <w:sectPr w:rsidR="004E21B0" w:rsidSect="00D80AD5">
      <w:footerReference w:type="even" r:id="rId12"/>
      <w:footerReference w:type="default" r:id="rId13"/>
      <w:footerReference w:type="first" r:id="rId1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1E4A" w14:textId="77777777" w:rsidR="004F6503" w:rsidRDefault="004F6503">
      <w:r>
        <w:separator/>
      </w:r>
    </w:p>
  </w:endnote>
  <w:endnote w:type="continuationSeparator" w:id="0">
    <w:p w14:paraId="1C401738" w14:textId="77777777" w:rsidR="004F6503" w:rsidRDefault="004F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azursk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UniversCyr-Light">
    <w:altName w:val="Times New Roman"/>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FB8C" w14:textId="77777777" w:rsidR="009D472B" w:rsidRDefault="004F6503"/>
  <w:p w14:paraId="40C8E43B" w14:textId="77777777" w:rsidR="004E21B0" w:rsidRDefault="004F6503">
    <w:r>
      <w:rPr>
        <w:sz w:val="22"/>
        <w:szCs w:val="22"/>
      </w:rPr>
      <w:t>Решение: N085734</w:t>
    </w:r>
    <w:r>
      <w:rPr>
        <w:sz w:val="22"/>
        <w:szCs w:val="22"/>
      </w:rPr>
      <w:br/>
      <w:t>Дата решения: 08.05.2025</w:t>
    </w:r>
    <w:r>
      <w:rPr>
        <w:sz w:val="22"/>
        <w:szCs w:val="22"/>
      </w:rPr>
      <w:br/>
      <w:t>Фамилия, имя, отчество (при его наличии</w:t>
    </w:r>
    <w:r>
      <w:rPr>
        <w:sz w:val="22"/>
        <w:szCs w:val="22"/>
      </w:rPr>
      <w:t xml:space="preserve">) руководителя государственного органа (или уполномоченное лицо): </w:t>
    </w:r>
    <w:proofErr w:type="spellStart"/>
    <w:r>
      <w:rPr>
        <w:sz w:val="22"/>
        <w:szCs w:val="22"/>
      </w:rPr>
      <w:t>Байтубаев</w:t>
    </w:r>
    <w:proofErr w:type="spellEnd"/>
    <w:r>
      <w:rPr>
        <w:sz w:val="22"/>
        <w:szCs w:val="22"/>
      </w:rPr>
      <w:t xml:space="preserve"> Е. Н.</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w:t>
    </w:r>
    <w:r>
      <w:rPr>
        <w:sz w:val="22"/>
        <w:szCs w:val="22"/>
      </w:rPr>
      <w:t xml:space="preserve">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E156" w14:textId="77777777" w:rsidR="009D472B" w:rsidRDefault="004F6503"/>
  <w:p w14:paraId="2C539103" w14:textId="7B0F88B9" w:rsidR="004E21B0" w:rsidRDefault="004E21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5AC7" w14:textId="77777777" w:rsidR="009D472B" w:rsidRDefault="004F6503"/>
  <w:p w14:paraId="65FC4DF2" w14:textId="77777777" w:rsidR="004E21B0" w:rsidRDefault="004F6503">
    <w:r>
      <w:rPr>
        <w:sz w:val="22"/>
        <w:szCs w:val="22"/>
      </w:rPr>
      <w:t>Решение: N085734</w:t>
    </w:r>
    <w:r>
      <w:rPr>
        <w:sz w:val="22"/>
        <w:szCs w:val="22"/>
      </w:rPr>
      <w:br/>
      <w:t>Дата решения: 08.05.2025</w:t>
    </w:r>
    <w:r>
      <w:rPr>
        <w:sz w:val="22"/>
        <w:szCs w:val="22"/>
      </w:rPr>
      <w:br/>
      <w:t xml:space="preserve">Фамилия, имя, отчество (при его наличии) руководителя государственного органа (или уполномоченное лицо): </w:t>
    </w:r>
    <w:proofErr w:type="spellStart"/>
    <w:r>
      <w:rPr>
        <w:sz w:val="22"/>
        <w:szCs w:val="22"/>
      </w:rPr>
      <w:t>Байтубаев</w:t>
    </w:r>
    <w:proofErr w:type="spellEnd"/>
    <w:r>
      <w:rPr>
        <w:sz w:val="22"/>
        <w:szCs w:val="22"/>
      </w:rPr>
      <w:t xml:space="preserve"> Е. Н.</w:t>
    </w:r>
    <w:r>
      <w:rPr>
        <w:sz w:val="22"/>
        <w:szCs w:val="22"/>
      </w:rPr>
      <w:br/>
      <w:t>(Комитет медицинского и фармацевтического контроля Министерства здравоохранения Республики Казахстан)</w:t>
    </w:r>
    <w:r>
      <w:rPr>
        <w:sz w:val="22"/>
        <w:szCs w:val="22"/>
      </w:rPr>
      <w:br/>
      <w:t>Данный документ согласно пункту 1 статьи 7 ЗРК от 7 января 2003 года «Об электронном документе и электронной цифровой подписи» равнозначен документ</w:t>
    </w:r>
    <w:r>
      <w:rPr>
        <w:sz w:val="22"/>
        <w:szCs w:val="22"/>
      </w:rPr>
      <w:t>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B252B" w14:textId="77777777" w:rsidR="004F6503" w:rsidRDefault="004F6503">
      <w:r>
        <w:separator/>
      </w:r>
    </w:p>
  </w:footnote>
  <w:footnote w:type="continuationSeparator" w:id="0">
    <w:p w14:paraId="4EBC4B0B" w14:textId="77777777" w:rsidR="004F6503" w:rsidRDefault="004F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F4B85A"/>
    <w:lvl w:ilvl="0">
      <w:numFmt w:val="bullet"/>
      <w:lvlText w:val="*"/>
      <w:lvlJc w:val="left"/>
    </w:lvl>
  </w:abstractNum>
  <w:abstractNum w:abstractNumId="1" w15:restartNumberingAfterBreak="0">
    <w:nsid w:val="05925C14"/>
    <w:multiLevelType w:val="hybridMultilevel"/>
    <w:tmpl w:val="4D9856C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936C2"/>
    <w:multiLevelType w:val="singleLevel"/>
    <w:tmpl w:val="0419000F"/>
    <w:lvl w:ilvl="0">
      <w:start w:val="2"/>
      <w:numFmt w:val="decimal"/>
      <w:lvlText w:val="%1."/>
      <w:lvlJc w:val="left"/>
      <w:pPr>
        <w:tabs>
          <w:tab w:val="num" w:pos="360"/>
        </w:tabs>
        <w:ind w:left="360" w:hanging="360"/>
      </w:pPr>
      <w:rPr>
        <w:rFonts w:hint="default"/>
      </w:rPr>
    </w:lvl>
  </w:abstractNum>
  <w:abstractNum w:abstractNumId="3" w15:restartNumberingAfterBreak="0">
    <w:nsid w:val="08362B53"/>
    <w:multiLevelType w:val="hybridMultilevel"/>
    <w:tmpl w:val="9BA6BB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F77E76"/>
    <w:multiLevelType w:val="hybridMultilevel"/>
    <w:tmpl w:val="BA84FC42"/>
    <w:lvl w:ilvl="0" w:tplc="7D827DC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60267"/>
    <w:multiLevelType w:val="multilevel"/>
    <w:tmpl w:val="BEA6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D3504"/>
    <w:multiLevelType w:val="hybridMultilevel"/>
    <w:tmpl w:val="22A0BC90"/>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E49DF"/>
    <w:multiLevelType w:val="hybridMultilevel"/>
    <w:tmpl w:val="8BA84594"/>
    <w:lvl w:ilvl="0" w:tplc="50AE9438">
      <w:start w:val="1"/>
      <w:numFmt w:val="decimal"/>
      <w:lvlText w:val="%1."/>
      <w:lvlJc w:val="left"/>
      <w:pPr>
        <w:tabs>
          <w:tab w:val="num" w:pos="720"/>
        </w:tabs>
        <w:ind w:left="720" w:hanging="360"/>
      </w:pPr>
      <w:rPr>
        <w:rFonts w:hint="default"/>
      </w:rPr>
    </w:lvl>
    <w:lvl w:ilvl="1" w:tplc="C7F6C6C2" w:tentative="1">
      <w:start w:val="1"/>
      <w:numFmt w:val="lowerLetter"/>
      <w:lvlText w:val="%2."/>
      <w:lvlJc w:val="left"/>
      <w:pPr>
        <w:tabs>
          <w:tab w:val="num" w:pos="1440"/>
        </w:tabs>
        <w:ind w:left="1440" w:hanging="360"/>
      </w:pPr>
    </w:lvl>
    <w:lvl w:ilvl="2" w:tplc="947A940C" w:tentative="1">
      <w:start w:val="1"/>
      <w:numFmt w:val="lowerRoman"/>
      <w:lvlText w:val="%3."/>
      <w:lvlJc w:val="right"/>
      <w:pPr>
        <w:tabs>
          <w:tab w:val="num" w:pos="2160"/>
        </w:tabs>
        <w:ind w:left="2160" w:hanging="180"/>
      </w:pPr>
    </w:lvl>
    <w:lvl w:ilvl="3" w:tplc="162A9236" w:tentative="1">
      <w:start w:val="1"/>
      <w:numFmt w:val="decimal"/>
      <w:lvlText w:val="%4."/>
      <w:lvlJc w:val="left"/>
      <w:pPr>
        <w:tabs>
          <w:tab w:val="num" w:pos="2880"/>
        </w:tabs>
        <w:ind w:left="2880" w:hanging="360"/>
      </w:pPr>
    </w:lvl>
    <w:lvl w:ilvl="4" w:tplc="BE1816A8" w:tentative="1">
      <w:start w:val="1"/>
      <w:numFmt w:val="lowerLetter"/>
      <w:lvlText w:val="%5."/>
      <w:lvlJc w:val="left"/>
      <w:pPr>
        <w:tabs>
          <w:tab w:val="num" w:pos="3600"/>
        </w:tabs>
        <w:ind w:left="3600" w:hanging="360"/>
      </w:pPr>
    </w:lvl>
    <w:lvl w:ilvl="5" w:tplc="6FA68BD4" w:tentative="1">
      <w:start w:val="1"/>
      <w:numFmt w:val="lowerRoman"/>
      <w:lvlText w:val="%6."/>
      <w:lvlJc w:val="right"/>
      <w:pPr>
        <w:tabs>
          <w:tab w:val="num" w:pos="4320"/>
        </w:tabs>
        <w:ind w:left="4320" w:hanging="180"/>
      </w:pPr>
    </w:lvl>
    <w:lvl w:ilvl="6" w:tplc="D556FCC8" w:tentative="1">
      <w:start w:val="1"/>
      <w:numFmt w:val="decimal"/>
      <w:lvlText w:val="%7."/>
      <w:lvlJc w:val="left"/>
      <w:pPr>
        <w:tabs>
          <w:tab w:val="num" w:pos="5040"/>
        </w:tabs>
        <w:ind w:left="5040" w:hanging="360"/>
      </w:pPr>
    </w:lvl>
    <w:lvl w:ilvl="7" w:tplc="50E83BAA" w:tentative="1">
      <w:start w:val="1"/>
      <w:numFmt w:val="lowerLetter"/>
      <w:lvlText w:val="%8."/>
      <w:lvlJc w:val="left"/>
      <w:pPr>
        <w:tabs>
          <w:tab w:val="num" w:pos="5760"/>
        </w:tabs>
        <w:ind w:left="5760" w:hanging="360"/>
      </w:pPr>
    </w:lvl>
    <w:lvl w:ilvl="8" w:tplc="39C0E4F8" w:tentative="1">
      <w:start w:val="1"/>
      <w:numFmt w:val="lowerRoman"/>
      <w:lvlText w:val="%9."/>
      <w:lvlJc w:val="right"/>
      <w:pPr>
        <w:tabs>
          <w:tab w:val="num" w:pos="6480"/>
        </w:tabs>
        <w:ind w:left="6480" w:hanging="180"/>
      </w:pPr>
    </w:lvl>
  </w:abstractNum>
  <w:abstractNum w:abstractNumId="8" w15:restartNumberingAfterBreak="0">
    <w:nsid w:val="1E990A33"/>
    <w:multiLevelType w:val="hybridMultilevel"/>
    <w:tmpl w:val="D2883186"/>
    <w:lvl w:ilvl="0" w:tplc="A4A01D76">
      <w:start w:val="1"/>
      <w:numFmt w:val="decimal"/>
      <w:lvlText w:val="%1."/>
      <w:lvlJc w:val="left"/>
      <w:pPr>
        <w:tabs>
          <w:tab w:val="num" w:pos="720"/>
        </w:tabs>
        <w:ind w:left="720" w:hanging="360"/>
      </w:pPr>
    </w:lvl>
    <w:lvl w:ilvl="1" w:tplc="A04059C4" w:tentative="1">
      <w:start w:val="1"/>
      <w:numFmt w:val="lowerLetter"/>
      <w:lvlText w:val="%2."/>
      <w:lvlJc w:val="left"/>
      <w:pPr>
        <w:tabs>
          <w:tab w:val="num" w:pos="1440"/>
        </w:tabs>
        <w:ind w:left="1440" w:hanging="360"/>
      </w:pPr>
    </w:lvl>
    <w:lvl w:ilvl="2" w:tplc="13F896DE" w:tentative="1">
      <w:start w:val="1"/>
      <w:numFmt w:val="lowerRoman"/>
      <w:lvlText w:val="%3."/>
      <w:lvlJc w:val="right"/>
      <w:pPr>
        <w:tabs>
          <w:tab w:val="num" w:pos="2160"/>
        </w:tabs>
        <w:ind w:left="2160" w:hanging="180"/>
      </w:pPr>
    </w:lvl>
    <w:lvl w:ilvl="3" w:tplc="2F6A4CD2" w:tentative="1">
      <w:start w:val="1"/>
      <w:numFmt w:val="decimal"/>
      <w:lvlText w:val="%4."/>
      <w:lvlJc w:val="left"/>
      <w:pPr>
        <w:tabs>
          <w:tab w:val="num" w:pos="2880"/>
        </w:tabs>
        <w:ind w:left="2880" w:hanging="360"/>
      </w:pPr>
    </w:lvl>
    <w:lvl w:ilvl="4" w:tplc="6D060BCA" w:tentative="1">
      <w:start w:val="1"/>
      <w:numFmt w:val="lowerLetter"/>
      <w:lvlText w:val="%5."/>
      <w:lvlJc w:val="left"/>
      <w:pPr>
        <w:tabs>
          <w:tab w:val="num" w:pos="3600"/>
        </w:tabs>
        <w:ind w:left="3600" w:hanging="360"/>
      </w:pPr>
    </w:lvl>
    <w:lvl w:ilvl="5" w:tplc="9D5A12AA" w:tentative="1">
      <w:start w:val="1"/>
      <w:numFmt w:val="lowerRoman"/>
      <w:lvlText w:val="%6."/>
      <w:lvlJc w:val="right"/>
      <w:pPr>
        <w:tabs>
          <w:tab w:val="num" w:pos="4320"/>
        </w:tabs>
        <w:ind w:left="4320" w:hanging="180"/>
      </w:pPr>
    </w:lvl>
    <w:lvl w:ilvl="6" w:tplc="59D22DBC" w:tentative="1">
      <w:start w:val="1"/>
      <w:numFmt w:val="decimal"/>
      <w:lvlText w:val="%7."/>
      <w:lvlJc w:val="left"/>
      <w:pPr>
        <w:tabs>
          <w:tab w:val="num" w:pos="5040"/>
        </w:tabs>
        <w:ind w:left="5040" w:hanging="360"/>
      </w:pPr>
    </w:lvl>
    <w:lvl w:ilvl="7" w:tplc="CDB0601C" w:tentative="1">
      <w:start w:val="1"/>
      <w:numFmt w:val="lowerLetter"/>
      <w:lvlText w:val="%8."/>
      <w:lvlJc w:val="left"/>
      <w:pPr>
        <w:tabs>
          <w:tab w:val="num" w:pos="5760"/>
        </w:tabs>
        <w:ind w:left="5760" w:hanging="360"/>
      </w:pPr>
    </w:lvl>
    <w:lvl w:ilvl="8" w:tplc="76FE906C" w:tentative="1">
      <w:start w:val="1"/>
      <w:numFmt w:val="lowerRoman"/>
      <w:lvlText w:val="%9."/>
      <w:lvlJc w:val="right"/>
      <w:pPr>
        <w:tabs>
          <w:tab w:val="num" w:pos="6480"/>
        </w:tabs>
        <w:ind w:left="6480" w:hanging="180"/>
      </w:pPr>
    </w:lvl>
  </w:abstractNum>
  <w:abstractNum w:abstractNumId="9" w15:restartNumberingAfterBreak="0">
    <w:nsid w:val="21877C76"/>
    <w:multiLevelType w:val="multilevel"/>
    <w:tmpl w:val="1B388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B615F"/>
    <w:multiLevelType w:val="hybridMultilevel"/>
    <w:tmpl w:val="25B29260"/>
    <w:lvl w:ilvl="0" w:tplc="04190001">
      <w:start w:val="1"/>
      <w:numFmt w:val="bullet"/>
      <w:lvlText w:val=""/>
      <w:lvlJc w:val="left"/>
      <w:pPr>
        <w:tabs>
          <w:tab w:val="num" w:pos="720"/>
        </w:tabs>
        <w:ind w:left="720" w:hanging="360"/>
      </w:pPr>
      <w:rPr>
        <w:rFonts w:ascii="Symbol" w:hAnsi="Symbol" w:hint="default"/>
        <w:sz w:val="28"/>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C756A9"/>
    <w:multiLevelType w:val="hybridMultilevel"/>
    <w:tmpl w:val="C188F65A"/>
    <w:lvl w:ilvl="0" w:tplc="7D827DC6">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B51DB"/>
    <w:multiLevelType w:val="hybridMultilevel"/>
    <w:tmpl w:val="252C7F8E"/>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46711"/>
    <w:multiLevelType w:val="hybridMultilevel"/>
    <w:tmpl w:val="718C988E"/>
    <w:lvl w:ilvl="0" w:tplc="7D827DC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48CE5559"/>
    <w:multiLevelType w:val="hybridMultilevel"/>
    <w:tmpl w:val="1024B8F6"/>
    <w:lvl w:ilvl="0" w:tplc="7D827DC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872AD1"/>
    <w:multiLevelType w:val="hybridMultilevel"/>
    <w:tmpl w:val="9E34AAD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2286C"/>
    <w:multiLevelType w:val="hybridMultilevel"/>
    <w:tmpl w:val="E6E80B98"/>
    <w:lvl w:ilvl="0" w:tplc="7D9424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A240A3"/>
    <w:multiLevelType w:val="hybridMultilevel"/>
    <w:tmpl w:val="05A6E93C"/>
    <w:lvl w:ilvl="0" w:tplc="6AC4545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FB5023"/>
    <w:multiLevelType w:val="hybridMultilevel"/>
    <w:tmpl w:val="1AFC7774"/>
    <w:lvl w:ilvl="0" w:tplc="80828CB6">
      <w:start w:val="1"/>
      <w:numFmt w:val="decimal"/>
      <w:lvlText w:val="%1."/>
      <w:lvlJc w:val="left"/>
      <w:pPr>
        <w:tabs>
          <w:tab w:val="num" w:pos="1440"/>
        </w:tabs>
        <w:ind w:left="1440" w:hanging="360"/>
      </w:pPr>
    </w:lvl>
    <w:lvl w:ilvl="1" w:tplc="CEDC5F70" w:tentative="1">
      <w:start w:val="1"/>
      <w:numFmt w:val="lowerLetter"/>
      <w:lvlText w:val="%2."/>
      <w:lvlJc w:val="left"/>
      <w:pPr>
        <w:tabs>
          <w:tab w:val="num" w:pos="2160"/>
        </w:tabs>
        <w:ind w:left="2160" w:hanging="360"/>
      </w:pPr>
    </w:lvl>
    <w:lvl w:ilvl="2" w:tplc="A5949CB6" w:tentative="1">
      <w:start w:val="1"/>
      <w:numFmt w:val="lowerRoman"/>
      <w:lvlText w:val="%3."/>
      <w:lvlJc w:val="right"/>
      <w:pPr>
        <w:tabs>
          <w:tab w:val="num" w:pos="2880"/>
        </w:tabs>
        <w:ind w:left="2880" w:hanging="180"/>
      </w:pPr>
    </w:lvl>
    <w:lvl w:ilvl="3" w:tplc="6870F9D2" w:tentative="1">
      <w:start w:val="1"/>
      <w:numFmt w:val="decimal"/>
      <w:lvlText w:val="%4."/>
      <w:lvlJc w:val="left"/>
      <w:pPr>
        <w:tabs>
          <w:tab w:val="num" w:pos="3600"/>
        </w:tabs>
        <w:ind w:left="3600" w:hanging="360"/>
      </w:pPr>
    </w:lvl>
    <w:lvl w:ilvl="4" w:tplc="7C401F5A" w:tentative="1">
      <w:start w:val="1"/>
      <w:numFmt w:val="lowerLetter"/>
      <w:lvlText w:val="%5."/>
      <w:lvlJc w:val="left"/>
      <w:pPr>
        <w:tabs>
          <w:tab w:val="num" w:pos="4320"/>
        </w:tabs>
        <w:ind w:left="4320" w:hanging="360"/>
      </w:pPr>
    </w:lvl>
    <w:lvl w:ilvl="5" w:tplc="2AF67BBC" w:tentative="1">
      <w:start w:val="1"/>
      <w:numFmt w:val="lowerRoman"/>
      <w:lvlText w:val="%6."/>
      <w:lvlJc w:val="right"/>
      <w:pPr>
        <w:tabs>
          <w:tab w:val="num" w:pos="5040"/>
        </w:tabs>
        <w:ind w:left="5040" w:hanging="180"/>
      </w:pPr>
    </w:lvl>
    <w:lvl w:ilvl="6" w:tplc="5C7EBD4A" w:tentative="1">
      <w:start w:val="1"/>
      <w:numFmt w:val="decimal"/>
      <w:lvlText w:val="%7."/>
      <w:lvlJc w:val="left"/>
      <w:pPr>
        <w:tabs>
          <w:tab w:val="num" w:pos="5760"/>
        </w:tabs>
        <w:ind w:left="5760" w:hanging="360"/>
      </w:pPr>
    </w:lvl>
    <w:lvl w:ilvl="7" w:tplc="63A08B7A" w:tentative="1">
      <w:start w:val="1"/>
      <w:numFmt w:val="lowerLetter"/>
      <w:lvlText w:val="%8."/>
      <w:lvlJc w:val="left"/>
      <w:pPr>
        <w:tabs>
          <w:tab w:val="num" w:pos="6480"/>
        </w:tabs>
        <w:ind w:left="6480" w:hanging="360"/>
      </w:pPr>
    </w:lvl>
    <w:lvl w:ilvl="8" w:tplc="3FBC6406" w:tentative="1">
      <w:start w:val="1"/>
      <w:numFmt w:val="lowerRoman"/>
      <w:lvlText w:val="%9."/>
      <w:lvlJc w:val="right"/>
      <w:pPr>
        <w:tabs>
          <w:tab w:val="num" w:pos="7200"/>
        </w:tabs>
        <w:ind w:left="7200" w:hanging="180"/>
      </w:pPr>
    </w:lvl>
  </w:abstractNum>
  <w:abstractNum w:abstractNumId="19" w15:restartNumberingAfterBreak="0">
    <w:nsid w:val="678A70BD"/>
    <w:multiLevelType w:val="singleLevel"/>
    <w:tmpl w:val="BC62A180"/>
    <w:lvl w:ilvl="0">
      <w:start w:val="1"/>
      <w:numFmt w:val="decimal"/>
      <w:lvlText w:val="%1."/>
      <w:lvlJc w:val="left"/>
      <w:pPr>
        <w:tabs>
          <w:tab w:val="num" w:pos="1080"/>
        </w:tabs>
        <w:ind w:left="1080" w:hanging="360"/>
      </w:pPr>
      <w:rPr>
        <w:rFonts w:hint="default"/>
      </w:rPr>
    </w:lvl>
  </w:abstractNum>
  <w:abstractNum w:abstractNumId="20" w15:restartNumberingAfterBreak="0">
    <w:nsid w:val="6BDA6343"/>
    <w:multiLevelType w:val="multilevel"/>
    <w:tmpl w:val="77044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6F31C1"/>
    <w:multiLevelType w:val="hybridMultilevel"/>
    <w:tmpl w:val="70BE946A"/>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CD515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9"/>
  </w:num>
  <w:num w:numId="2">
    <w:abstractNumId w:val="18"/>
  </w:num>
  <w:num w:numId="3">
    <w:abstractNumId w:val="22"/>
  </w:num>
  <w:num w:numId="4">
    <w:abstractNumId w:val="2"/>
  </w:num>
  <w:num w:numId="5">
    <w:abstractNumId w:val="8"/>
  </w:num>
  <w:num w:numId="6">
    <w:abstractNumId w:val="7"/>
  </w:num>
  <w:num w:numId="7">
    <w:abstractNumId w:val="20"/>
  </w:num>
  <w:num w:numId="8">
    <w:abstractNumId w:val="9"/>
  </w:num>
  <w:num w:numId="9">
    <w:abstractNumId w:val="5"/>
  </w:num>
  <w:num w:numId="10">
    <w:abstractNumId w:val="17"/>
  </w:num>
  <w:num w:numId="11">
    <w:abstractNumId w:val="6"/>
  </w:num>
  <w:num w:numId="12">
    <w:abstractNumId w:val="15"/>
  </w:num>
  <w:num w:numId="13">
    <w:abstractNumId w:val="12"/>
  </w:num>
  <w:num w:numId="14">
    <w:abstractNumId w:val="10"/>
  </w:num>
  <w:num w:numId="15">
    <w:abstractNumId w:val="0"/>
    <w:lvlOverride w:ilvl="0">
      <w:lvl w:ilvl="0">
        <w:start w:val="65535"/>
        <w:numFmt w:val="bullet"/>
        <w:lvlText w:val="-"/>
        <w:legacy w:legacy="1" w:legacySpace="0" w:legacyIndent="139"/>
        <w:lvlJc w:val="left"/>
        <w:rPr>
          <w:rFonts w:ascii="Arial" w:hAnsi="Arial" w:cs="Arial" w:hint="default"/>
        </w:rPr>
      </w:lvl>
    </w:lvlOverride>
  </w:num>
  <w:num w:numId="16">
    <w:abstractNumId w:val="3"/>
  </w:num>
  <w:num w:numId="17">
    <w:abstractNumId w:val="16"/>
  </w:num>
  <w:num w:numId="18">
    <w:abstractNumId w:val="1"/>
  </w:num>
  <w:num w:numId="19">
    <w:abstractNumId w:val="13"/>
  </w:num>
  <w:num w:numId="20">
    <w:abstractNumId w:val="4"/>
  </w:num>
  <w:num w:numId="21">
    <w:abstractNumId w:val="14"/>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73D"/>
    <w:rsid w:val="00000BCE"/>
    <w:rsid w:val="00003EB0"/>
    <w:rsid w:val="00004D65"/>
    <w:rsid w:val="000069D1"/>
    <w:rsid w:val="00015F97"/>
    <w:rsid w:val="00025229"/>
    <w:rsid w:val="00026779"/>
    <w:rsid w:val="00026CA0"/>
    <w:rsid w:val="00031FFD"/>
    <w:rsid w:val="00035D3F"/>
    <w:rsid w:val="000400C1"/>
    <w:rsid w:val="00043FBF"/>
    <w:rsid w:val="000544C9"/>
    <w:rsid w:val="000552CB"/>
    <w:rsid w:val="00064798"/>
    <w:rsid w:val="0007011A"/>
    <w:rsid w:val="000751C7"/>
    <w:rsid w:val="00082B47"/>
    <w:rsid w:val="00083CE8"/>
    <w:rsid w:val="00083DE3"/>
    <w:rsid w:val="00084A63"/>
    <w:rsid w:val="00085A6F"/>
    <w:rsid w:val="000878F7"/>
    <w:rsid w:val="00087A6E"/>
    <w:rsid w:val="0009096F"/>
    <w:rsid w:val="00090D7D"/>
    <w:rsid w:val="00091DDA"/>
    <w:rsid w:val="000A3A4B"/>
    <w:rsid w:val="000B097B"/>
    <w:rsid w:val="000B1E2D"/>
    <w:rsid w:val="000B3C05"/>
    <w:rsid w:val="000C1307"/>
    <w:rsid w:val="000C2965"/>
    <w:rsid w:val="000C2CBF"/>
    <w:rsid w:val="000C68AC"/>
    <w:rsid w:val="000C7222"/>
    <w:rsid w:val="000D73E2"/>
    <w:rsid w:val="000E36C0"/>
    <w:rsid w:val="000E48F3"/>
    <w:rsid w:val="000E5AD3"/>
    <w:rsid w:val="000E5F37"/>
    <w:rsid w:val="000F1804"/>
    <w:rsid w:val="000F443A"/>
    <w:rsid w:val="000F7654"/>
    <w:rsid w:val="000F7736"/>
    <w:rsid w:val="001018CC"/>
    <w:rsid w:val="00101A92"/>
    <w:rsid w:val="0011496B"/>
    <w:rsid w:val="00117D43"/>
    <w:rsid w:val="001214E3"/>
    <w:rsid w:val="00122A0F"/>
    <w:rsid w:val="00123868"/>
    <w:rsid w:val="00123C22"/>
    <w:rsid w:val="00125EB6"/>
    <w:rsid w:val="001267D8"/>
    <w:rsid w:val="00126F44"/>
    <w:rsid w:val="00130458"/>
    <w:rsid w:val="00132573"/>
    <w:rsid w:val="00134A4D"/>
    <w:rsid w:val="0013583A"/>
    <w:rsid w:val="00144DEB"/>
    <w:rsid w:val="00147B82"/>
    <w:rsid w:val="00161FEC"/>
    <w:rsid w:val="001653F1"/>
    <w:rsid w:val="00170CB0"/>
    <w:rsid w:val="00171995"/>
    <w:rsid w:val="001848A4"/>
    <w:rsid w:val="001A0514"/>
    <w:rsid w:val="001A1328"/>
    <w:rsid w:val="001A6CC4"/>
    <w:rsid w:val="001A6EB0"/>
    <w:rsid w:val="001A7BCC"/>
    <w:rsid w:val="001B4AAE"/>
    <w:rsid w:val="001D4E39"/>
    <w:rsid w:val="001D57C2"/>
    <w:rsid w:val="001F5F47"/>
    <w:rsid w:val="00202A58"/>
    <w:rsid w:val="002052B3"/>
    <w:rsid w:val="00211408"/>
    <w:rsid w:val="0021170D"/>
    <w:rsid w:val="00212928"/>
    <w:rsid w:val="00212A9B"/>
    <w:rsid w:val="00212D0D"/>
    <w:rsid w:val="00213A12"/>
    <w:rsid w:val="00234CCA"/>
    <w:rsid w:val="00237AE6"/>
    <w:rsid w:val="00242037"/>
    <w:rsid w:val="00247893"/>
    <w:rsid w:val="00250506"/>
    <w:rsid w:val="00253108"/>
    <w:rsid w:val="00255260"/>
    <w:rsid w:val="00257927"/>
    <w:rsid w:val="00263AC1"/>
    <w:rsid w:val="00266849"/>
    <w:rsid w:val="0027315A"/>
    <w:rsid w:val="00284634"/>
    <w:rsid w:val="00285EA1"/>
    <w:rsid w:val="00291251"/>
    <w:rsid w:val="002920EE"/>
    <w:rsid w:val="002A0751"/>
    <w:rsid w:val="002A6744"/>
    <w:rsid w:val="002A75C9"/>
    <w:rsid w:val="002B4502"/>
    <w:rsid w:val="002D4E2D"/>
    <w:rsid w:val="002D77DB"/>
    <w:rsid w:val="002D7B57"/>
    <w:rsid w:val="002E2466"/>
    <w:rsid w:val="002E327C"/>
    <w:rsid w:val="002F2C5D"/>
    <w:rsid w:val="002F2C8C"/>
    <w:rsid w:val="002F3019"/>
    <w:rsid w:val="002F5211"/>
    <w:rsid w:val="002F79EB"/>
    <w:rsid w:val="0030114B"/>
    <w:rsid w:val="00301999"/>
    <w:rsid w:val="003049FB"/>
    <w:rsid w:val="00304D62"/>
    <w:rsid w:val="00314805"/>
    <w:rsid w:val="00317D0A"/>
    <w:rsid w:val="00325CDC"/>
    <w:rsid w:val="00333232"/>
    <w:rsid w:val="00336356"/>
    <w:rsid w:val="00337988"/>
    <w:rsid w:val="00355481"/>
    <w:rsid w:val="00356237"/>
    <w:rsid w:val="003568E0"/>
    <w:rsid w:val="00360C10"/>
    <w:rsid w:val="00362CDF"/>
    <w:rsid w:val="003630A8"/>
    <w:rsid w:val="00364403"/>
    <w:rsid w:val="0036659C"/>
    <w:rsid w:val="00370256"/>
    <w:rsid w:val="00376261"/>
    <w:rsid w:val="00382868"/>
    <w:rsid w:val="003839CA"/>
    <w:rsid w:val="0038763D"/>
    <w:rsid w:val="003915FC"/>
    <w:rsid w:val="003946C3"/>
    <w:rsid w:val="003972B0"/>
    <w:rsid w:val="00397D65"/>
    <w:rsid w:val="003A0B44"/>
    <w:rsid w:val="003A24D5"/>
    <w:rsid w:val="003A55AC"/>
    <w:rsid w:val="003C1986"/>
    <w:rsid w:val="003C3FCD"/>
    <w:rsid w:val="003D3C25"/>
    <w:rsid w:val="003E7DD0"/>
    <w:rsid w:val="003F5BF6"/>
    <w:rsid w:val="003F6F17"/>
    <w:rsid w:val="0040212E"/>
    <w:rsid w:val="00402A3C"/>
    <w:rsid w:val="00405723"/>
    <w:rsid w:val="0041419E"/>
    <w:rsid w:val="00417333"/>
    <w:rsid w:val="0042058D"/>
    <w:rsid w:val="00426045"/>
    <w:rsid w:val="004278AE"/>
    <w:rsid w:val="00436172"/>
    <w:rsid w:val="004416DD"/>
    <w:rsid w:val="00447569"/>
    <w:rsid w:val="00450C86"/>
    <w:rsid w:val="0045144A"/>
    <w:rsid w:val="00451F8B"/>
    <w:rsid w:val="00455195"/>
    <w:rsid w:val="00457C42"/>
    <w:rsid w:val="00472D0A"/>
    <w:rsid w:val="00481641"/>
    <w:rsid w:val="004A315B"/>
    <w:rsid w:val="004B3792"/>
    <w:rsid w:val="004B3FEF"/>
    <w:rsid w:val="004C1BFA"/>
    <w:rsid w:val="004C3114"/>
    <w:rsid w:val="004C54BA"/>
    <w:rsid w:val="004D1A25"/>
    <w:rsid w:val="004D1AA7"/>
    <w:rsid w:val="004E21B0"/>
    <w:rsid w:val="004E51D1"/>
    <w:rsid w:val="004F6503"/>
    <w:rsid w:val="004F7D59"/>
    <w:rsid w:val="00500091"/>
    <w:rsid w:val="0050165C"/>
    <w:rsid w:val="00504484"/>
    <w:rsid w:val="00506836"/>
    <w:rsid w:val="00516AE5"/>
    <w:rsid w:val="005228D9"/>
    <w:rsid w:val="005239D2"/>
    <w:rsid w:val="00523CCF"/>
    <w:rsid w:val="00533C61"/>
    <w:rsid w:val="005412A0"/>
    <w:rsid w:val="005452BD"/>
    <w:rsid w:val="0054614D"/>
    <w:rsid w:val="005543E3"/>
    <w:rsid w:val="00555084"/>
    <w:rsid w:val="00571CE7"/>
    <w:rsid w:val="00574055"/>
    <w:rsid w:val="00576D6C"/>
    <w:rsid w:val="005770F9"/>
    <w:rsid w:val="00590BA0"/>
    <w:rsid w:val="005A19BC"/>
    <w:rsid w:val="005A52EB"/>
    <w:rsid w:val="005A5589"/>
    <w:rsid w:val="005A5A61"/>
    <w:rsid w:val="005A5B31"/>
    <w:rsid w:val="005A6E5F"/>
    <w:rsid w:val="005B1767"/>
    <w:rsid w:val="005B6036"/>
    <w:rsid w:val="005C2CBB"/>
    <w:rsid w:val="005D18AC"/>
    <w:rsid w:val="005D2312"/>
    <w:rsid w:val="005D2746"/>
    <w:rsid w:val="005D6DA0"/>
    <w:rsid w:val="005E14B8"/>
    <w:rsid w:val="005E1B05"/>
    <w:rsid w:val="005E542A"/>
    <w:rsid w:val="005E736B"/>
    <w:rsid w:val="005F5485"/>
    <w:rsid w:val="00600F18"/>
    <w:rsid w:val="00607B4F"/>
    <w:rsid w:val="00607BA7"/>
    <w:rsid w:val="00607D93"/>
    <w:rsid w:val="006117C3"/>
    <w:rsid w:val="006135C6"/>
    <w:rsid w:val="006203BC"/>
    <w:rsid w:val="00620B70"/>
    <w:rsid w:val="006261FA"/>
    <w:rsid w:val="00631CC8"/>
    <w:rsid w:val="0063484E"/>
    <w:rsid w:val="0064695B"/>
    <w:rsid w:val="00652210"/>
    <w:rsid w:val="0065232E"/>
    <w:rsid w:val="00656240"/>
    <w:rsid w:val="006607BE"/>
    <w:rsid w:val="00677D8E"/>
    <w:rsid w:val="00680569"/>
    <w:rsid w:val="00691633"/>
    <w:rsid w:val="00694553"/>
    <w:rsid w:val="0069760F"/>
    <w:rsid w:val="006A5E53"/>
    <w:rsid w:val="006B0837"/>
    <w:rsid w:val="006B1A57"/>
    <w:rsid w:val="006B4362"/>
    <w:rsid w:val="006B5CBE"/>
    <w:rsid w:val="006C18EA"/>
    <w:rsid w:val="006C2AF5"/>
    <w:rsid w:val="006C2F28"/>
    <w:rsid w:val="006C6216"/>
    <w:rsid w:val="006C71BF"/>
    <w:rsid w:val="006D06BF"/>
    <w:rsid w:val="006D2A13"/>
    <w:rsid w:val="006D40C8"/>
    <w:rsid w:val="006D4DC2"/>
    <w:rsid w:val="006D52A1"/>
    <w:rsid w:val="006D545B"/>
    <w:rsid w:val="006D6BC5"/>
    <w:rsid w:val="006E577B"/>
    <w:rsid w:val="006E5812"/>
    <w:rsid w:val="006E6B06"/>
    <w:rsid w:val="006F049F"/>
    <w:rsid w:val="006F2705"/>
    <w:rsid w:val="006F2A8A"/>
    <w:rsid w:val="0070475A"/>
    <w:rsid w:val="00705257"/>
    <w:rsid w:val="00706A21"/>
    <w:rsid w:val="00707B8C"/>
    <w:rsid w:val="00707C64"/>
    <w:rsid w:val="00717794"/>
    <w:rsid w:val="007233A9"/>
    <w:rsid w:val="00725E63"/>
    <w:rsid w:val="00726CCF"/>
    <w:rsid w:val="00726F1F"/>
    <w:rsid w:val="00736D3B"/>
    <w:rsid w:val="00743D98"/>
    <w:rsid w:val="00755056"/>
    <w:rsid w:val="00761978"/>
    <w:rsid w:val="00762462"/>
    <w:rsid w:val="00765493"/>
    <w:rsid w:val="00765FEE"/>
    <w:rsid w:val="00774EC0"/>
    <w:rsid w:val="00776DF4"/>
    <w:rsid w:val="0078048D"/>
    <w:rsid w:val="007819F2"/>
    <w:rsid w:val="00786135"/>
    <w:rsid w:val="00795D5E"/>
    <w:rsid w:val="00796DA3"/>
    <w:rsid w:val="007A23A3"/>
    <w:rsid w:val="007A36AD"/>
    <w:rsid w:val="007B24DB"/>
    <w:rsid w:val="007C47D0"/>
    <w:rsid w:val="007D0F47"/>
    <w:rsid w:val="007D2AD4"/>
    <w:rsid w:val="007D6980"/>
    <w:rsid w:val="007D7D1C"/>
    <w:rsid w:val="007E2EA1"/>
    <w:rsid w:val="007E4BB1"/>
    <w:rsid w:val="007E5370"/>
    <w:rsid w:val="007F051E"/>
    <w:rsid w:val="007F3B62"/>
    <w:rsid w:val="007F7B0C"/>
    <w:rsid w:val="00804298"/>
    <w:rsid w:val="008076DC"/>
    <w:rsid w:val="00810486"/>
    <w:rsid w:val="00815388"/>
    <w:rsid w:val="00815D29"/>
    <w:rsid w:val="00816339"/>
    <w:rsid w:val="00816683"/>
    <w:rsid w:val="0082173D"/>
    <w:rsid w:val="00827799"/>
    <w:rsid w:val="0083224A"/>
    <w:rsid w:val="008322A4"/>
    <w:rsid w:val="00834699"/>
    <w:rsid w:val="0084036E"/>
    <w:rsid w:val="008456A1"/>
    <w:rsid w:val="008461B2"/>
    <w:rsid w:val="008463CE"/>
    <w:rsid w:val="008478F5"/>
    <w:rsid w:val="008542AE"/>
    <w:rsid w:val="00855E96"/>
    <w:rsid w:val="00857E3D"/>
    <w:rsid w:val="0086116F"/>
    <w:rsid w:val="00861ECB"/>
    <w:rsid w:val="00862226"/>
    <w:rsid w:val="00866A27"/>
    <w:rsid w:val="008709A0"/>
    <w:rsid w:val="00870F97"/>
    <w:rsid w:val="00872A55"/>
    <w:rsid w:val="00874C4C"/>
    <w:rsid w:val="0087792F"/>
    <w:rsid w:val="0088198F"/>
    <w:rsid w:val="00893055"/>
    <w:rsid w:val="00893AEB"/>
    <w:rsid w:val="008A20D8"/>
    <w:rsid w:val="008A44A1"/>
    <w:rsid w:val="008A4EB5"/>
    <w:rsid w:val="008A6D2B"/>
    <w:rsid w:val="008A7CF0"/>
    <w:rsid w:val="008B325E"/>
    <w:rsid w:val="008B5196"/>
    <w:rsid w:val="008B5E8D"/>
    <w:rsid w:val="008C31CC"/>
    <w:rsid w:val="008C3E6C"/>
    <w:rsid w:val="008D0963"/>
    <w:rsid w:val="008D3E48"/>
    <w:rsid w:val="008D5747"/>
    <w:rsid w:val="008D5FEB"/>
    <w:rsid w:val="008D744E"/>
    <w:rsid w:val="008F05A8"/>
    <w:rsid w:val="00925FDF"/>
    <w:rsid w:val="009402B6"/>
    <w:rsid w:val="009414D4"/>
    <w:rsid w:val="00953E24"/>
    <w:rsid w:val="00953E58"/>
    <w:rsid w:val="009552D4"/>
    <w:rsid w:val="0096321D"/>
    <w:rsid w:val="0096335C"/>
    <w:rsid w:val="00965099"/>
    <w:rsid w:val="00966776"/>
    <w:rsid w:val="00971B5E"/>
    <w:rsid w:val="009741B3"/>
    <w:rsid w:val="00983861"/>
    <w:rsid w:val="009851D9"/>
    <w:rsid w:val="009851F3"/>
    <w:rsid w:val="00994680"/>
    <w:rsid w:val="009A10E0"/>
    <w:rsid w:val="009A1BB9"/>
    <w:rsid w:val="009A1E1B"/>
    <w:rsid w:val="009B0AF9"/>
    <w:rsid w:val="009B0B72"/>
    <w:rsid w:val="009B148E"/>
    <w:rsid w:val="009B3C73"/>
    <w:rsid w:val="009B7100"/>
    <w:rsid w:val="009C228B"/>
    <w:rsid w:val="009C34B9"/>
    <w:rsid w:val="009C74E9"/>
    <w:rsid w:val="009D7DC0"/>
    <w:rsid w:val="009D7F14"/>
    <w:rsid w:val="009E0397"/>
    <w:rsid w:val="009E5389"/>
    <w:rsid w:val="009E6D78"/>
    <w:rsid w:val="009F4D77"/>
    <w:rsid w:val="00A0140F"/>
    <w:rsid w:val="00A04057"/>
    <w:rsid w:val="00A07756"/>
    <w:rsid w:val="00A12E10"/>
    <w:rsid w:val="00A1662D"/>
    <w:rsid w:val="00A238F0"/>
    <w:rsid w:val="00A245D2"/>
    <w:rsid w:val="00A375C1"/>
    <w:rsid w:val="00A41DF8"/>
    <w:rsid w:val="00A43283"/>
    <w:rsid w:val="00A513D0"/>
    <w:rsid w:val="00A51480"/>
    <w:rsid w:val="00A54FD2"/>
    <w:rsid w:val="00A55CBC"/>
    <w:rsid w:val="00A565EE"/>
    <w:rsid w:val="00A61B84"/>
    <w:rsid w:val="00A64586"/>
    <w:rsid w:val="00A64851"/>
    <w:rsid w:val="00A64F1E"/>
    <w:rsid w:val="00A67C5D"/>
    <w:rsid w:val="00A7242E"/>
    <w:rsid w:val="00A80B92"/>
    <w:rsid w:val="00A917FE"/>
    <w:rsid w:val="00AA5DB1"/>
    <w:rsid w:val="00AB1F61"/>
    <w:rsid w:val="00AB7966"/>
    <w:rsid w:val="00AC7F7F"/>
    <w:rsid w:val="00AD454F"/>
    <w:rsid w:val="00AD5156"/>
    <w:rsid w:val="00AF02AB"/>
    <w:rsid w:val="00B01673"/>
    <w:rsid w:val="00B07895"/>
    <w:rsid w:val="00B13903"/>
    <w:rsid w:val="00B15BBD"/>
    <w:rsid w:val="00B16BB0"/>
    <w:rsid w:val="00B27FE7"/>
    <w:rsid w:val="00B31272"/>
    <w:rsid w:val="00B32D22"/>
    <w:rsid w:val="00B335EE"/>
    <w:rsid w:val="00B50BA0"/>
    <w:rsid w:val="00B534EF"/>
    <w:rsid w:val="00B64739"/>
    <w:rsid w:val="00B648A2"/>
    <w:rsid w:val="00B65A62"/>
    <w:rsid w:val="00B66318"/>
    <w:rsid w:val="00B8712D"/>
    <w:rsid w:val="00B91B7B"/>
    <w:rsid w:val="00B94609"/>
    <w:rsid w:val="00B959A4"/>
    <w:rsid w:val="00B96EE6"/>
    <w:rsid w:val="00BA1B28"/>
    <w:rsid w:val="00BA2ED2"/>
    <w:rsid w:val="00BA3A6F"/>
    <w:rsid w:val="00BA7113"/>
    <w:rsid w:val="00BB1D4F"/>
    <w:rsid w:val="00BB518B"/>
    <w:rsid w:val="00BB6DE3"/>
    <w:rsid w:val="00BC3BBA"/>
    <w:rsid w:val="00BC7729"/>
    <w:rsid w:val="00BD0D20"/>
    <w:rsid w:val="00BD0E4C"/>
    <w:rsid w:val="00BE075A"/>
    <w:rsid w:val="00BE1882"/>
    <w:rsid w:val="00BE418D"/>
    <w:rsid w:val="00BE462F"/>
    <w:rsid w:val="00BE702A"/>
    <w:rsid w:val="00BF41C3"/>
    <w:rsid w:val="00BF7813"/>
    <w:rsid w:val="00C043F9"/>
    <w:rsid w:val="00C11CE5"/>
    <w:rsid w:val="00C1202E"/>
    <w:rsid w:val="00C17877"/>
    <w:rsid w:val="00C236B1"/>
    <w:rsid w:val="00C257F3"/>
    <w:rsid w:val="00C267B4"/>
    <w:rsid w:val="00C27C3F"/>
    <w:rsid w:val="00C401C4"/>
    <w:rsid w:val="00C419FB"/>
    <w:rsid w:val="00C43383"/>
    <w:rsid w:val="00C46D2D"/>
    <w:rsid w:val="00C4711B"/>
    <w:rsid w:val="00C50721"/>
    <w:rsid w:val="00C52EDD"/>
    <w:rsid w:val="00C54B9B"/>
    <w:rsid w:val="00C57898"/>
    <w:rsid w:val="00C6270F"/>
    <w:rsid w:val="00C62C88"/>
    <w:rsid w:val="00C64B91"/>
    <w:rsid w:val="00C64DF0"/>
    <w:rsid w:val="00C66573"/>
    <w:rsid w:val="00C706B0"/>
    <w:rsid w:val="00C7189D"/>
    <w:rsid w:val="00C72398"/>
    <w:rsid w:val="00C76815"/>
    <w:rsid w:val="00C82961"/>
    <w:rsid w:val="00C82B05"/>
    <w:rsid w:val="00C858DD"/>
    <w:rsid w:val="00C85CF3"/>
    <w:rsid w:val="00C876E0"/>
    <w:rsid w:val="00C944BE"/>
    <w:rsid w:val="00C9533A"/>
    <w:rsid w:val="00C9736F"/>
    <w:rsid w:val="00CA551F"/>
    <w:rsid w:val="00CA757D"/>
    <w:rsid w:val="00CB53EF"/>
    <w:rsid w:val="00CB5F0A"/>
    <w:rsid w:val="00CB7B95"/>
    <w:rsid w:val="00CC4A6A"/>
    <w:rsid w:val="00CC4B18"/>
    <w:rsid w:val="00CD128B"/>
    <w:rsid w:val="00CD37BA"/>
    <w:rsid w:val="00CD5835"/>
    <w:rsid w:val="00CD622A"/>
    <w:rsid w:val="00CF1749"/>
    <w:rsid w:val="00CF5C21"/>
    <w:rsid w:val="00D014B9"/>
    <w:rsid w:val="00D1123B"/>
    <w:rsid w:val="00D160E9"/>
    <w:rsid w:val="00D228B0"/>
    <w:rsid w:val="00D24395"/>
    <w:rsid w:val="00D34753"/>
    <w:rsid w:val="00D42C3C"/>
    <w:rsid w:val="00D447F5"/>
    <w:rsid w:val="00D46F19"/>
    <w:rsid w:val="00D47FE1"/>
    <w:rsid w:val="00D5183B"/>
    <w:rsid w:val="00D55C52"/>
    <w:rsid w:val="00D55D37"/>
    <w:rsid w:val="00D56833"/>
    <w:rsid w:val="00D60675"/>
    <w:rsid w:val="00D709BB"/>
    <w:rsid w:val="00D7191A"/>
    <w:rsid w:val="00D74CE6"/>
    <w:rsid w:val="00D75153"/>
    <w:rsid w:val="00D76683"/>
    <w:rsid w:val="00D80AD5"/>
    <w:rsid w:val="00D9365D"/>
    <w:rsid w:val="00D93E83"/>
    <w:rsid w:val="00DA2764"/>
    <w:rsid w:val="00DB1F2D"/>
    <w:rsid w:val="00DB3610"/>
    <w:rsid w:val="00DC1417"/>
    <w:rsid w:val="00DC2B8D"/>
    <w:rsid w:val="00DC3049"/>
    <w:rsid w:val="00DD56D9"/>
    <w:rsid w:val="00DE51F4"/>
    <w:rsid w:val="00DE61F8"/>
    <w:rsid w:val="00DF0A6F"/>
    <w:rsid w:val="00DF1DF3"/>
    <w:rsid w:val="00E0076F"/>
    <w:rsid w:val="00E00E2D"/>
    <w:rsid w:val="00E026C4"/>
    <w:rsid w:val="00E12CF6"/>
    <w:rsid w:val="00E145D4"/>
    <w:rsid w:val="00E148AE"/>
    <w:rsid w:val="00E149FC"/>
    <w:rsid w:val="00E17B8A"/>
    <w:rsid w:val="00E202F2"/>
    <w:rsid w:val="00E25666"/>
    <w:rsid w:val="00E27A57"/>
    <w:rsid w:val="00E31F17"/>
    <w:rsid w:val="00E33811"/>
    <w:rsid w:val="00E34ADE"/>
    <w:rsid w:val="00E45F94"/>
    <w:rsid w:val="00E52B1B"/>
    <w:rsid w:val="00E545B2"/>
    <w:rsid w:val="00E5635E"/>
    <w:rsid w:val="00E56A6A"/>
    <w:rsid w:val="00E612BE"/>
    <w:rsid w:val="00E61A3B"/>
    <w:rsid w:val="00E61E90"/>
    <w:rsid w:val="00E63113"/>
    <w:rsid w:val="00E6756D"/>
    <w:rsid w:val="00E74385"/>
    <w:rsid w:val="00E77961"/>
    <w:rsid w:val="00E916F3"/>
    <w:rsid w:val="00E940D4"/>
    <w:rsid w:val="00E96CDE"/>
    <w:rsid w:val="00E97E19"/>
    <w:rsid w:val="00EA5E9E"/>
    <w:rsid w:val="00EA73DF"/>
    <w:rsid w:val="00EB1E6F"/>
    <w:rsid w:val="00EC5976"/>
    <w:rsid w:val="00EC616B"/>
    <w:rsid w:val="00EC7DAF"/>
    <w:rsid w:val="00EC7EC9"/>
    <w:rsid w:val="00ED0C74"/>
    <w:rsid w:val="00ED3771"/>
    <w:rsid w:val="00ED391D"/>
    <w:rsid w:val="00ED3CE9"/>
    <w:rsid w:val="00ED49EF"/>
    <w:rsid w:val="00EE5B62"/>
    <w:rsid w:val="00EE6AD9"/>
    <w:rsid w:val="00EF167A"/>
    <w:rsid w:val="00EF66B0"/>
    <w:rsid w:val="00EF77EF"/>
    <w:rsid w:val="00F004EE"/>
    <w:rsid w:val="00F0449A"/>
    <w:rsid w:val="00F103BF"/>
    <w:rsid w:val="00F1622E"/>
    <w:rsid w:val="00F23187"/>
    <w:rsid w:val="00F34626"/>
    <w:rsid w:val="00F466AC"/>
    <w:rsid w:val="00F52707"/>
    <w:rsid w:val="00F57D52"/>
    <w:rsid w:val="00F609CB"/>
    <w:rsid w:val="00F6249D"/>
    <w:rsid w:val="00F641A5"/>
    <w:rsid w:val="00F6566F"/>
    <w:rsid w:val="00F67B69"/>
    <w:rsid w:val="00F71A91"/>
    <w:rsid w:val="00F71AA9"/>
    <w:rsid w:val="00F73FE1"/>
    <w:rsid w:val="00F75195"/>
    <w:rsid w:val="00F81FA4"/>
    <w:rsid w:val="00F84000"/>
    <w:rsid w:val="00F921CB"/>
    <w:rsid w:val="00FA03AA"/>
    <w:rsid w:val="00FA194B"/>
    <w:rsid w:val="00FA3024"/>
    <w:rsid w:val="00FA455F"/>
    <w:rsid w:val="00FA50CE"/>
    <w:rsid w:val="00FA7027"/>
    <w:rsid w:val="00FB0115"/>
    <w:rsid w:val="00FB4096"/>
    <w:rsid w:val="00FB56D6"/>
    <w:rsid w:val="00FB706B"/>
    <w:rsid w:val="00FC078E"/>
    <w:rsid w:val="00FC0DAF"/>
    <w:rsid w:val="00FC2C0A"/>
    <w:rsid w:val="00FC2CBD"/>
    <w:rsid w:val="00FC64A3"/>
    <w:rsid w:val="00FE0D6D"/>
    <w:rsid w:val="00FE6D64"/>
    <w:rsid w:val="00FE6FD1"/>
    <w:rsid w:val="00FE74D8"/>
    <w:rsid w:val="00FF2786"/>
    <w:rsid w:val="00FF37D5"/>
    <w:rsid w:val="00FF4F1F"/>
    <w:rsid w:val="00FF5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71EC0"/>
  <w15:docId w15:val="{CD5F18CB-27F6-492C-9452-D3927D31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3C25"/>
    <w:rPr>
      <w:sz w:val="24"/>
    </w:rPr>
  </w:style>
  <w:style w:type="paragraph" w:styleId="1">
    <w:name w:val="heading 1"/>
    <w:basedOn w:val="a"/>
    <w:next w:val="a"/>
    <w:qFormat/>
    <w:pPr>
      <w:keepNext/>
      <w:outlineLvl w:val="0"/>
    </w:pPr>
    <w:rPr>
      <w:rFonts w:ascii="Arial" w:hAnsi="Arial"/>
      <w:sz w:val="28"/>
    </w:rPr>
  </w:style>
  <w:style w:type="paragraph" w:styleId="2">
    <w:name w:val="heading 2"/>
    <w:basedOn w:val="a"/>
    <w:next w:val="a"/>
    <w:link w:val="20"/>
    <w:qFormat/>
    <w:pPr>
      <w:keepNext/>
      <w:jc w:val="center"/>
      <w:outlineLvl w:val="1"/>
    </w:pPr>
    <w:rPr>
      <w:rFonts w:ascii="Arial" w:hAnsi="Arial"/>
      <w:b/>
      <w:sz w:val="28"/>
    </w:rPr>
  </w:style>
  <w:style w:type="paragraph" w:styleId="3">
    <w:name w:val="heading 3"/>
    <w:basedOn w:val="a"/>
    <w:next w:val="a"/>
    <w:link w:val="30"/>
    <w:semiHidden/>
    <w:unhideWhenUsed/>
    <w:qFormat/>
    <w:rsid w:val="00083CE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C858DD"/>
    <w:pPr>
      <w:spacing w:before="240" w:after="60"/>
      <w:outlineLvl w:val="4"/>
    </w:pPr>
    <w:rPr>
      <w:rFonts w:ascii="Calibri" w:hAnsi="Calibri"/>
      <w:b/>
      <w:bCs/>
      <w:i/>
      <w:iCs/>
      <w:sz w:val="26"/>
      <w:szCs w:val="26"/>
    </w:rPr>
  </w:style>
  <w:style w:type="paragraph" w:styleId="8">
    <w:name w:val="heading 8"/>
    <w:basedOn w:val="a"/>
    <w:next w:val="a"/>
    <w:link w:val="80"/>
    <w:qFormat/>
    <w:rsid w:val="00A1662D"/>
    <w:pPr>
      <w:spacing w:before="240" w:after="60"/>
      <w:outlineLvl w:val="7"/>
    </w:pPr>
    <w:rPr>
      <w:rFonts w:ascii="Calibri" w:hAnsi="Calibri"/>
      <w:i/>
      <w:iCs/>
      <w:szCs w:val="24"/>
    </w:rPr>
  </w:style>
  <w:style w:type="paragraph" w:styleId="9">
    <w:name w:val="heading 9"/>
    <w:basedOn w:val="a"/>
    <w:next w:val="a"/>
    <w:link w:val="90"/>
    <w:qFormat/>
    <w:rsid w:val="00EC597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Arial" w:hAnsi="Arial"/>
      <w:sz w:val="28"/>
    </w:rPr>
  </w:style>
  <w:style w:type="paragraph" w:styleId="a5">
    <w:name w:val="Body Text Indent"/>
    <w:basedOn w:val="a"/>
    <w:link w:val="a6"/>
    <w:pPr>
      <w:ind w:firstLine="720"/>
      <w:jc w:val="both"/>
    </w:pPr>
    <w:rPr>
      <w:rFonts w:ascii="Arial" w:hAnsi="Arial"/>
      <w:sz w:val="28"/>
    </w:rPr>
  </w:style>
  <w:style w:type="paragraph" w:styleId="a7">
    <w:name w:val="Title"/>
    <w:basedOn w:val="a"/>
    <w:qFormat/>
    <w:pPr>
      <w:jc w:val="center"/>
    </w:pPr>
    <w:rPr>
      <w:b/>
      <w:sz w:val="32"/>
    </w:rPr>
  </w:style>
  <w:style w:type="character" w:customStyle="1" w:styleId="80">
    <w:name w:val="Заголовок 8 Знак"/>
    <w:link w:val="8"/>
    <w:semiHidden/>
    <w:rsid w:val="00A1662D"/>
    <w:rPr>
      <w:rFonts w:ascii="Calibri" w:eastAsia="Times New Roman" w:hAnsi="Calibri" w:cs="Times New Roman"/>
      <w:i/>
      <w:iCs/>
      <w:sz w:val="24"/>
      <w:szCs w:val="24"/>
      <w:lang w:val="ru-RU" w:eastAsia="ru-RU"/>
    </w:rPr>
  </w:style>
  <w:style w:type="paragraph" w:styleId="21">
    <w:name w:val="Body Text 2"/>
    <w:basedOn w:val="a"/>
    <w:link w:val="22"/>
    <w:rsid w:val="00A1662D"/>
    <w:pPr>
      <w:spacing w:after="120" w:line="480" w:lineRule="auto"/>
    </w:pPr>
  </w:style>
  <w:style w:type="character" w:customStyle="1" w:styleId="22">
    <w:name w:val="Основной текст 2 Знак"/>
    <w:link w:val="21"/>
    <w:rsid w:val="00A1662D"/>
    <w:rPr>
      <w:sz w:val="24"/>
      <w:lang w:val="ru-RU" w:eastAsia="ru-RU"/>
    </w:rPr>
  </w:style>
  <w:style w:type="paragraph" w:customStyle="1" w:styleId="text12">
    <w:name w:val="text12"/>
    <w:rsid w:val="00A1662D"/>
    <w:pPr>
      <w:jc w:val="both"/>
    </w:pPr>
    <w:rPr>
      <w:rFonts w:ascii="Lazurski" w:hAnsi="Lazurski"/>
      <w:sz w:val="13"/>
    </w:rPr>
  </w:style>
  <w:style w:type="paragraph" w:customStyle="1" w:styleId="10">
    <w:name w:val="Стиль1"/>
    <w:basedOn w:val="a"/>
    <w:rsid w:val="00A1662D"/>
    <w:pPr>
      <w:spacing w:line="360" w:lineRule="auto"/>
      <w:jc w:val="both"/>
    </w:pPr>
    <w:rPr>
      <w:rFonts w:ascii="Courier New" w:hAnsi="Courier New"/>
      <w:lang w:val="en-US"/>
    </w:rPr>
  </w:style>
  <w:style w:type="paragraph" w:styleId="a8">
    <w:name w:val="Plain Text"/>
    <w:basedOn w:val="a"/>
    <w:link w:val="a9"/>
    <w:rsid w:val="00A1662D"/>
    <w:rPr>
      <w:rFonts w:ascii="Courier New" w:hAnsi="Courier New"/>
      <w:sz w:val="20"/>
    </w:rPr>
  </w:style>
  <w:style w:type="character" w:customStyle="1" w:styleId="a9">
    <w:name w:val="Текст Знак"/>
    <w:link w:val="a8"/>
    <w:rsid w:val="00A1662D"/>
    <w:rPr>
      <w:rFonts w:ascii="Courier New" w:hAnsi="Courier New"/>
      <w:lang w:val="ru-RU" w:eastAsia="ru-RU"/>
    </w:rPr>
  </w:style>
  <w:style w:type="paragraph" w:styleId="aa">
    <w:name w:val="Normal (Web)"/>
    <w:basedOn w:val="a"/>
    <w:uiPriority w:val="99"/>
    <w:unhideWhenUsed/>
    <w:rsid w:val="0021170D"/>
    <w:pPr>
      <w:spacing w:after="100" w:afterAutospacing="1"/>
    </w:pPr>
    <w:rPr>
      <w:color w:val="000000"/>
      <w:szCs w:val="24"/>
      <w:lang w:val="en-US" w:eastAsia="en-US"/>
    </w:rPr>
  </w:style>
  <w:style w:type="character" w:customStyle="1" w:styleId="20">
    <w:name w:val="Заголовок 2 Знак"/>
    <w:link w:val="2"/>
    <w:rsid w:val="00872A55"/>
    <w:rPr>
      <w:rFonts w:ascii="Arial" w:hAnsi="Arial"/>
      <w:b/>
      <w:sz w:val="28"/>
      <w:lang w:val="ru-RU" w:eastAsia="ru-RU"/>
    </w:rPr>
  </w:style>
  <w:style w:type="character" w:customStyle="1" w:styleId="FontStyle58">
    <w:name w:val="Font Style58"/>
    <w:rsid w:val="00872A55"/>
    <w:rPr>
      <w:rFonts w:ascii="Times New Roman" w:hAnsi="Times New Roman" w:cs="Times New Roman"/>
      <w:b/>
      <w:bCs/>
      <w:sz w:val="16"/>
      <w:szCs w:val="16"/>
    </w:rPr>
  </w:style>
  <w:style w:type="character" w:customStyle="1" w:styleId="FontStyle30">
    <w:name w:val="Font Style30"/>
    <w:uiPriority w:val="99"/>
    <w:rsid w:val="00872A55"/>
    <w:rPr>
      <w:rFonts w:ascii="Times New Roman" w:hAnsi="Times New Roman" w:cs="Times New Roman"/>
      <w:sz w:val="26"/>
      <w:szCs w:val="26"/>
    </w:rPr>
  </w:style>
  <w:style w:type="paragraph" w:styleId="31">
    <w:name w:val="Body Text 3"/>
    <w:basedOn w:val="a"/>
    <w:link w:val="32"/>
    <w:rsid w:val="00872A55"/>
    <w:pPr>
      <w:spacing w:after="120"/>
    </w:pPr>
    <w:rPr>
      <w:sz w:val="16"/>
      <w:szCs w:val="16"/>
    </w:rPr>
  </w:style>
  <w:style w:type="character" w:customStyle="1" w:styleId="32">
    <w:name w:val="Основной текст 3 Знак"/>
    <w:link w:val="31"/>
    <w:rsid w:val="00872A55"/>
    <w:rPr>
      <w:sz w:val="16"/>
      <w:szCs w:val="16"/>
      <w:lang w:val="ru-RU" w:eastAsia="ru-RU"/>
    </w:rPr>
  </w:style>
  <w:style w:type="character" w:styleId="ab">
    <w:name w:val="Hyperlink"/>
    <w:rsid w:val="00870F97"/>
    <w:rPr>
      <w:color w:val="0000FF"/>
      <w:u w:val="single"/>
    </w:rPr>
  </w:style>
  <w:style w:type="character" w:customStyle="1" w:styleId="90">
    <w:name w:val="Заголовок 9 Знак"/>
    <w:link w:val="9"/>
    <w:semiHidden/>
    <w:rsid w:val="00EC5976"/>
    <w:rPr>
      <w:rFonts w:ascii="Cambria" w:eastAsia="Times New Roman" w:hAnsi="Cambria" w:cs="Times New Roman"/>
      <w:sz w:val="22"/>
      <w:szCs w:val="22"/>
      <w:lang w:val="ru-RU" w:eastAsia="ru-RU"/>
    </w:rPr>
  </w:style>
  <w:style w:type="character" w:customStyle="1" w:styleId="a4">
    <w:name w:val="Основной текст Знак"/>
    <w:link w:val="a3"/>
    <w:rsid w:val="00257927"/>
    <w:rPr>
      <w:rFonts w:ascii="Arial" w:hAnsi="Arial"/>
      <w:sz w:val="28"/>
      <w:lang w:val="ru-RU" w:eastAsia="ru-RU"/>
    </w:rPr>
  </w:style>
  <w:style w:type="character" w:customStyle="1" w:styleId="50">
    <w:name w:val="Заголовок 5 Знак"/>
    <w:link w:val="5"/>
    <w:rsid w:val="00C858DD"/>
    <w:rPr>
      <w:rFonts w:ascii="Calibri" w:eastAsia="Times New Roman" w:hAnsi="Calibri" w:cs="Times New Roman"/>
      <w:b/>
      <w:bCs/>
      <w:i/>
      <w:iCs/>
      <w:sz w:val="26"/>
      <w:szCs w:val="26"/>
      <w:lang w:val="ru-RU" w:eastAsia="ru-RU"/>
    </w:rPr>
  </w:style>
  <w:style w:type="character" w:customStyle="1" w:styleId="s0">
    <w:name w:val="s0"/>
    <w:rsid w:val="00090D7D"/>
    <w:rPr>
      <w:rFonts w:ascii="Times New Roman" w:hAnsi="Times New Roman" w:cs="Times New Roman"/>
      <w:b w:val="0"/>
      <w:bCs w:val="0"/>
      <w:i w:val="0"/>
      <w:iCs w:val="0"/>
      <w:strike w:val="0"/>
      <w:dstrike w:val="0"/>
      <w:color w:val="000000"/>
      <w:sz w:val="22"/>
      <w:szCs w:val="22"/>
      <w:u w:val="none"/>
    </w:rPr>
  </w:style>
  <w:style w:type="character" w:customStyle="1" w:styleId="a6">
    <w:name w:val="Основной текст с отступом Знак"/>
    <w:link w:val="a5"/>
    <w:rsid w:val="00125EB6"/>
    <w:rPr>
      <w:rFonts w:ascii="Arial" w:hAnsi="Arial"/>
      <w:sz w:val="28"/>
      <w:lang w:val="ru-RU" w:eastAsia="ru-RU"/>
    </w:rPr>
  </w:style>
  <w:style w:type="paragraph" w:styleId="23">
    <w:name w:val="Body Text Indent 2"/>
    <w:basedOn w:val="a"/>
    <w:link w:val="24"/>
    <w:rsid w:val="00125EB6"/>
    <w:pPr>
      <w:spacing w:after="120" w:line="480" w:lineRule="auto"/>
      <w:ind w:left="360"/>
    </w:pPr>
  </w:style>
  <w:style w:type="character" w:customStyle="1" w:styleId="24">
    <w:name w:val="Основной текст с отступом 2 Знак"/>
    <w:link w:val="23"/>
    <w:rsid w:val="00125EB6"/>
    <w:rPr>
      <w:sz w:val="24"/>
      <w:lang w:val="ru-RU" w:eastAsia="ru-RU"/>
    </w:rPr>
  </w:style>
  <w:style w:type="character" w:customStyle="1" w:styleId="30">
    <w:name w:val="Заголовок 3 Знак"/>
    <w:link w:val="3"/>
    <w:rsid w:val="00083CE8"/>
    <w:rPr>
      <w:rFonts w:ascii="Cambria" w:eastAsia="Times New Roman" w:hAnsi="Cambria" w:cs="Times New Roman"/>
      <w:b/>
      <w:bCs/>
      <w:sz w:val="26"/>
      <w:szCs w:val="26"/>
    </w:rPr>
  </w:style>
  <w:style w:type="character" w:customStyle="1" w:styleId="FontStyle13">
    <w:name w:val="Font Style13"/>
    <w:rsid w:val="00083CE8"/>
    <w:rPr>
      <w:rFonts w:ascii="Times New Roman" w:hAnsi="Times New Roman" w:cs="Times New Roman"/>
      <w:sz w:val="26"/>
      <w:szCs w:val="26"/>
    </w:rPr>
  </w:style>
  <w:style w:type="character" w:customStyle="1" w:styleId="hps">
    <w:name w:val="hps"/>
    <w:basedOn w:val="a0"/>
    <w:rsid w:val="00E61E90"/>
  </w:style>
  <w:style w:type="paragraph" w:customStyle="1" w:styleId="Style1">
    <w:name w:val="Style1"/>
    <w:basedOn w:val="a"/>
    <w:rsid w:val="005A5B31"/>
    <w:pPr>
      <w:tabs>
        <w:tab w:val="left" w:pos="567"/>
      </w:tabs>
      <w:jc w:val="both"/>
    </w:pPr>
    <w:rPr>
      <w:rFonts w:ascii="Helvetica" w:hAnsi="Helvetica"/>
      <w:b/>
      <w:lang w:val="en-GB" w:eastAsia="en-US"/>
    </w:rPr>
  </w:style>
  <w:style w:type="paragraph" w:customStyle="1" w:styleId="Style3">
    <w:name w:val="Style3"/>
    <w:basedOn w:val="a"/>
    <w:rsid w:val="005A5B31"/>
    <w:pPr>
      <w:tabs>
        <w:tab w:val="left" w:pos="567"/>
      </w:tabs>
      <w:spacing w:before="120"/>
      <w:ind w:left="567"/>
      <w:jc w:val="both"/>
    </w:pPr>
    <w:rPr>
      <w:rFonts w:ascii="Helvetica" w:hAnsi="Helvetica"/>
      <w:lang w:val="en-GB" w:eastAsia="en-US"/>
    </w:rPr>
  </w:style>
  <w:style w:type="paragraph" w:customStyle="1" w:styleId="Style4">
    <w:name w:val="Style4"/>
    <w:basedOn w:val="a"/>
    <w:rsid w:val="005A5B31"/>
    <w:pPr>
      <w:widowControl w:val="0"/>
      <w:autoSpaceDE w:val="0"/>
      <w:autoSpaceDN w:val="0"/>
      <w:adjustRightInd w:val="0"/>
      <w:spacing w:line="326" w:lineRule="exact"/>
    </w:pPr>
    <w:rPr>
      <w:szCs w:val="24"/>
    </w:rPr>
  </w:style>
  <w:style w:type="paragraph" w:customStyle="1" w:styleId="BodyTextKeep">
    <w:name w:val="Body Text Keep"/>
    <w:basedOn w:val="a3"/>
    <w:rsid w:val="00BB518B"/>
    <w:pPr>
      <w:keepNext/>
      <w:spacing w:after="160" w:line="220" w:lineRule="atLeast"/>
    </w:pPr>
    <w:rPr>
      <w:rFonts w:ascii="Times New Roman" w:hAnsi="Times New Roman"/>
      <w:sz w:val="24"/>
      <w:lang w:val="en-GB" w:eastAsia="en-US"/>
    </w:rPr>
  </w:style>
  <w:style w:type="paragraph" w:customStyle="1" w:styleId="ac">
    <w:name w:val="Нижний колонтитул?/|."/>
    <w:basedOn w:val="a"/>
    <w:rsid w:val="00F73FE1"/>
    <w:pPr>
      <w:widowControl w:val="0"/>
      <w:tabs>
        <w:tab w:val="center" w:pos="4536"/>
        <w:tab w:val="right" w:pos="9072"/>
      </w:tabs>
    </w:pPr>
    <w:rPr>
      <w:sz w:val="20"/>
    </w:rPr>
  </w:style>
  <w:style w:type="paragraph" w:styleId="ad">
    <w:name w:val="header"/>
    <w:basedOn w:val="a"/>
    <w:link w:val="ae"/>
    <w:rsid w:val="003F5BF6"/>
    <w:pPr>
      <w:tabs>
        <w:tab w:val="center" w:pos="4677"/>
        <w:tab w:val="right" w:pos="9355"/>
      </w:tabs>
    </w:pPr>
  </w:style>
  <w:style w:type="character" w:customStyle="1" w:styleId="ae">
    <w:name w:val="Верхний колонтитул Знак"/>
    <w:basedOn w:val="a0"/>
    <w:link w:val="ad"/>
    <w:rsid w:val="003F5BF6"/>
    <w:rPr>
      <w:sz w:val="24"/>
    </w:rPr>
  </w:style>
  <w:style w:type="table" w:styleId="af">
    <w:name w:val="Table Grid"/>
    <w:basedOn w:val="a1"/>
    <w:rsid w:val="00736D3B"/>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81FA4"/>
    <w:pPr>
      <w:ind w:left="720"/>
      <w:contextualSpacing/>
    </w:pPr>
  </w:style>
  <w:style w:type="character" w:styleId="af1">
    <w:name w:val="Unresolved Mention"/>
    <w:basedOn w:val="a0"/>
    <w:uiPriority w:val="99"/>
    <w:semiHidden/>
    <w:unhideWhenUsed/>
    <w:rsid w:val="0079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388">
      <w:bodyDiv w:val="1"/>
      <w:marLeft w:val="0"/>
      <w:marRight w:val="0"/>
      <w:marTop w:val="0"/>
      <w:marBottom w:val="0"/>
      <w:divBdr>
        <w:top w:val="none" w:sz="0" w:space="0" w:color="auto"/>
        <w:left w:val="none" w:sz="0" w:space="0" w:color="auto"/>
        <w:bottom w:val="none" w:sz="0" w:space="0" w:color="auto"/>
        <w:right w:val="none" w:sz="0" w:space="0" w:color="auto"/>
      </w:divBdr>
    </w:div>
    <w:div w:id="51005185">
      <w:bodyDiv w:val="1"/>
      <w:marLeft w:val="0"/>
      <w:marRight w:val="0"/>
      <w:marTop w:val="0"/>
      <w:marBottom w:val="0"/>
      <w:divBdr>
        <w:top w:val="none" w:sz="0" w:space="0" w:color="auto"/>
        <w:left w:val="none" w:sz="0" w:space="0" w:color="auto"/>
        <w:bottom w:val="none" w:sz="0" w:space="0" w:color="auto"/>
        <w:right w:val="none" w:sz="0" w:space="0" w:color="auto"/>
      </w:divBdr>
      <w:divsChild>
        <w:div w:id="806315192">
          <w:marLeft w:val="0"/>
          <w:marRight w:val="0"/>
          <w:marTop w:val="0"/>
          <w:marBottom w:val="0"/>
          <w:divBdr>
            <w:top w:val="none" w:sz="0" w:space="0" w:color="auto"/>
            <w:left w:val="none" w:sz="0" w:space="0" w:color="auto"/>
            <w:bottom w:val="none" w:sz="0" w:space="0" w:color="auto"/>
            <w:right w:val="none" w:sz="0" w:space="0" w:color="auto"/>
          </w:divBdr>
          <w:divsChild>
            <w:div w:id="522674337">
              <w:marLeft w:val="0"/>
              <w:marRight w:val="0"/>
              <w:marTop w:val="0"/>
              <w:marBottom w:val="0"/>
              <w:divBdr>
                <w:top w:val="none" w:sz="0" w:space="0" w:color="auto"/>
                <w:left w:val="none" w:sz="0" w:space="0" w:color="auto"/>
                <w:bottom w:val="none" w:sz="0" w:space="0" w:color="auto"/>
                <w:right w:val="none" w:sz="0" w:space="0" w:color="auto"/>
              </w:divBdr>
              <w:divsChild>
                <w:div w:id="908809536">
                  <w:marLeft w:val="0"/>
                  <w:marRight w:val="0"/>
                  <w:marTop w:val="0"/>
                  <w:marBottom w:val="0"/>
                  <w:divBdr>
                    <w:top w:val="none" w:sz="0" w:space="0" w:color="auto"/>
                    <w:left w:val="none" w:sz="0" w:space="0" w:color="auto"/>
                    <w:bottom w:val="none" w:sz="0" w:space="0" w:color="auto"/>
                    <w:right w:val="none" w:sz="0" w:space="0" w:color="auto"/>
                  </w:divBdr>
                  <w:divsChild>
                    <w:div w:id="375206119">
                      <w:marLeft w:val="0"/>
                      <w:marRight w:val="0"/>
                      <w:marTop w:val="0"/>
                      <w:marBottom w:val="0"/>
                      <w:divBdr>
                        <w:top w:val="none" w:sz="0" w:space="0" w:color="auto"/>
                        <w:left w:val="none" w:sz="0" w:space="0" w:color="auto"/>
                        <w:bottom w:val="none" w:sz="0" w:space="0" w:color="auto"/>
                        <w:right w:val="none" w:sz="0" w:space="0" w:color="auto"/>
                      </w:divBdr>
                      <w:divsChild>
                        <w:div w:id="2051152084">
                          <w:marLeft w:val="0"/>
                          <w:marRight w:val="0"/>
                          <w:marTop w:val="0"/>
                          <w:marBottom w:val="0"/>
                          <w:divBdr>
                            <w:top w:val="none" w:sz="0" w:space="0" w:color="auto"/>
                            <w:left w:val="none" w:sz="0" w:space="0" w:color="auto"/>
                            <w:bottom w:val="none" w:sz="0" w:space="0" w:color="auto"/>
                            <w:right w:val="none" w:sz="0" w:space="0" w:color="auto"/>
                          </w:divBdr>
                          <w:divsChild>
                            <w:div w:id="2005473755">
                              <w:marLeft w:val="0"/>
                              <w:marRight w:val="0"/>
                              <w:marTop w:val="0"/>
                              <w:marBottom w:val="0"/>
                              <w:divBdr>
                                <w:top w:val="none" w:sz="0" w:space="0" w:color="auto"/>
                                <w:left w:val="none" w:sz="0" w:space="0" w:color="auto"/>
                                <w:bottom w:val="none" w:sz="0" w:space="0" w:color="auto"/>
                                <w:right w:val="none" w:sz="0" w:space="0" w:color="auto"/>
                              </w:divBdr>
                              <w:divsChild>
                                <w:div w:id="390468055">
                                  <w:marLeft w:val="0"/>
                                  <w:marRight w:val="0"/>
                                  <w:marTop w:val="0"/>
                                  <w:marBottom w:val="0"/>
                                  <w:divBdr>
                                    <w:top w:val="none" w:sz="0" w:space="0" w:color="auto"/>
                                    <w:left w:val="none" w:sz="0" w:space="0" w:color="auto"/>
                                    <w:bottom w:val="none" w:sz="0" w:space="0" w:color="auto"/>
                                    <w:right w:val="none" w:sz="0" w:space="0" w:color="auto"/>
                                  </w:divBdr>
                                  <w:divsChild>
                                    <w:div w:id="20119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82655">
      <w:bodyDiv w:val="1"/>
      <w:marLeft w:val="0"/>
      <w:marRight w:val="0"/>
      <w:marTop w:val="0"/>
      <w:marBottom w:val="0"/>
      <w:divBdr>
        <w:top w:val="none" w:sz="0" w:space="0" w:color="auto"/>
        <w:left w:val="none" w:sz="0" w:space="0" w:color="auto"/>
        <w:bottom w:val="none" w:sz="0" w:space="0" w:color="auto"/>
        <w:right w:val="none" w:sz="0" w:space="0" w:color="auto"/>
      </w:divBdr>
    </w:div>
    <w:div w:id="209725779">
      <w:bodyDiv w:val="1"/>
      <w:marLeft w:val="0"/>
      <w:marRight w:val="0"/>
      <w:marTop w:val="0"/>
      <w:marBottom w:val="0"/>
      <w:divBdr>
        <w:top w:val="none" w:sz="0" w:space="0" w:color="auto"/>
        <w:left w:val="none" w:sz="0" w:space="0" w:color="auto"/>
        <w:bottom w:val="none" w:sz="0" w:space="0" w:color="auto"/>
        <w:right w:val="none" w:sz="0" w:space="0" w:color="auto"/>
      </w:divBdr>
      <w:divsChild>
        <w:div w:id="1782146432">
          <w:marLeft w:val="0"/>
          <w:marRight w:val="0"/>
          <w:marTop w:val="0"/>
          <w:marBottom w:val="0"/>
          <w:divBdr>
            <w:top w:val="none" w:sz="0" w:space="0" w:color="auto"/>
            <w:left w:val="none" w:sz="0" w:space="0" w:color="auto"/>
            <w:bottom w:val="none" w:sz="0" w:space="0" w:color="auto"/>
            <w:right w:val="none" w:sz="0" w:space="0" w:color="auto"/>
          </w:divBdr>
          <w:divsChild>
            <w:div w:id="124008785">
              <w:marLeft w:val="0"/>
              <w:marRight w:val="0"/>
              <w:marTop w:val="0"/>
              <w:marBottom w:val="0"/>
              <w:divBdr>
                <w:top w:val="none" w:sz="0" w:space="0" w:color="auto"/>
                <w:left w:val="none" w:sz="0" w:space="0" w:color="auto"/>
                <w:bottom w:val="none" w:sz="0" w:space="0" w:color="auto"/>
                <w:right w:val="none" w:sz="0" w:space="0" w:color="auto"/>
              </w:divBdr>
              <w:divsChild>
                <w:div w:id="842091999">
                  <w:marLeft w:val="0"/>
                  <w:marRight w:val="0"/>
                  <w:marTop w:val="0"/>
                  <w:marBottom w:val="0"/>
                  <w:divBdr>
                    <w:top w:val="none" w:sz="0" w:space="0" w:color="auto"/>
                    <w:left w:val="none" w:sz="0" w:space="0" w:color="auto"/>
                    <w:bottom w:val="none" w:sz="0" w:space="0" w:color="auto"/>
                    <w:right w:val="none" w:sz="0" w:space="0" w:color="auto"/>
                  </w:divBdr>
                  <w:divsChild>
                    <w:div w:id="798844373">
                      <w:marLeft w:val="0"/>
                      <w:marRight w:val="0"/>
                      <w:marTop w:val="0"/>
                      <w:marBottom w:val="0"/>
                      <w:divBdr>
                        <w:top w:val="none" w:sz="0" w:space="0" w:color="auto"/>
                        <w:left w:val="none" w:sz="0" w:space="0" w:color="auto"/>
                        <w:bottom w:val="none" w:sz="0" w:space="0" w:color="auto"/>
                        <w:right w:val="none" w:sz="0" w:space="0" w:color="auto"/>
                      </w:divBdr>
                      <w:divsChild>
                        <w:div w:id="1860583359">
                          <w:marLeft w:val="0"/>
                          <w:marRight w:val="0"/>
                          <w:marTop w:val="0"/>
                          <w:marBottom w:val="0"/>
                          <w:divBdr>
                            <w:top w:val="none" w:sz="0" w:space="0" w:color="auto"/>
                            <w:left w:val="none" w:sz="0" w:space="0" w:color="auto"/>
                            <w:bottom w:val="none" w:sz="0" w:space="0" w:color="auto"/>
                            <w:right w:val="none" w:sz="0" w:space="0" w:color="auto"/>
                          </w:divBdr>
                          <w:divsChild>
                            <w:div w:id="2054889180">
                              <w:marLeft w:val="0"/>
                              <w:marRight w:val="0"/>
                              <w:marTop w:val="0"/>
                              <w:marBottom w:val="0"/>
                              <w:divBdr>
                                <w:top w:val="none" w:sz="0" w:space="0" w:color="auto"/>
                                <w:left w:val="none" w:sz="0" w:space="0" w:color="auto"/>
                                <w:bottom w:val="none" w:sz="0" w:space="0" w:color="auto"/>
                                <w:right w:val="none" w:sz="0" w:space="0" w:color="auto"/>
                              </w:divBdr>
                              <w:divsChild>
                                <w:div w:id="86849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195771">
      <w:bodyDiv w:val="1"/>
      <w:marLeft w:val="0"/>
      <w:marRight w:val="0"/>
      <w:marTop w:val="0"/>
      <w:marBottom w:val="0"/>
      <w:divBdr>
        <w:top w:val="none" w:sz="0" w:space="0" w:color="auto"/>
        <w:left w:val="none" w:sz="0" w:space="0" w:color="auto"/>
        <w:bottom w:val="none" w:sz="0" w:space="0" w:color="auto"/>
        <w:right w:val="none" w:sz="0" w:space="0" w:color="auto"/>
      </w:divBdr>
      <w:divsChild>
        <w:div w:id="2129395980">
          <w:marLeft w:val="0"/>
          <w:marRight w:val="0"/>
          <w:marTop w:val="0"/>
          <w:marBottom w:val="0"/>
          <w:divBdr>
            <w:top w:val="none" w:sz="0" w:space="0" w:color="auto"/>
            <w:left w:val="none" w:sz="0" w:space="0" w:color="auto"/>
            <w:bottom w:val="none" w:sz="0" w:space="0" w:color="auto"/>
            <w:right w:val="none" w:sz="0" w:space="0" w:color="auto"/>
          </w:divBdr>
          <w:divsChild>
            <w:div w:id="1595016159">
              <w:marLeft w:val="0"/>
              <w:marRight w:val="0"/>
              <w:marTop w:val="0"/>
              <w:marBottom w:val="0"/>
              <w:divBdr>
                <w:top w:val="none" w:sz="0" w:space="0" w:color="auto"/>
                <w:left w:val="none" w:sz="0" w:space="0" w:color="auto"/>
                <w:bottom w:val="none" w:sz="0" w:space="0" w:color="auto"/>
                <w:right w:val="none" w:sz="0" w:space="0" w:color="auto"/>
              </w:divBdr>
              <w:divsChild>
                <w:div w:id="1331833471">
                  <w:marLeft w:val="0"/>
                  <w:marRight w:val="0"/>
                  <w:marTop w:val="0"/>
                  <w:marBottom w:val="0"/>
                  <w:divBdr>
                    <w:top w:val="none" w:sz="0" w:space="0" w:color="auto"/>
                    <w:left w:val="none" w:sz="0" w:space="0" w:color="auto"/>
                    <w:bottom w:val="none" w:sz="0" w:space="0" w:color="auto"/>
                    <w:right w:val="none" w:sz="0" w:space="0" w:color="auto"/>
                  </w:divBdr>
                  <w:divsChild>
                    <w:div w:id="1981573806">
                      <w:marLeft w:val="0"/>
                      <w:marRight w:val="0"/>
                      <w:marTop w:val="0"/>
                      <w:marBottom w:val="0"/>
                      <w:divBdr>
                        <w:top w:val="none" w:sz="0" w:space="0" w:color="auto"/>
                        <w:left w:val="none" w:sz="0" w:space="0" w:color="auto"/>
                        <w:bottom w:val="none" w:sz="0" w:space="0" w:color="auto"/>
                        <w:right w:val="none" w:sz="0" w:space="0" w:color="auto"/>
                      </w:divBdr>
                      <w:divsChild>
                        <w:div w:id="305553995">
                          <w:marLeft w:val="0"/>
                          <w:marRight w:val="0"/>
                          <w:marTop w:val="0"/>
                          <w:marBottom w:val="0"/>
                          <w:divBdr>
                            <w:top w:val="none" w:sz="0" w:space="0" w:color="auto"/>
                            <w:left w:val="none" w:sz="0" w:space="0" w:color="auto"/>
                            <w:bottom w:val="none" w:sz="0" w:space="0" w:color="auto"/>
                            <w:right w:val="none" w:sz="0" w:space="0" w:color="auto"/>
                          </w:divBdr>
                          <w:divsChild>
                            <w:div w:id="320698410">
                              <w:marLeft w:val="0"/>
                              <w:marRight w:val="0"/>
                              <w:marTop w:val="0"/>
                              <w:marBottom w:val="0"/>
                              <w:divBdr>
                                <w:top w:val="none" w:sz="0" w:space="0" w:color="auto"/>
                                <w:left w:val="none" w:sz="0" w:space="0" w:color="auto"/>
                                <w:bottom w:val="none" w:sz="0" w:space="0" w:color="auto"/>
                                <w:right w:val="none" w:sz="0" w:space="0" w:color="auto"/>
                              </w:divBdr>
                              <w:divsChild>
                                <w:div w:id="922647561">
                                  <w:marLeft w:val="0"/>
                                  <w:marRight w:val="0"/>
                                  <w:marTop w:val="0"/>
                                  <w:marBottom w:val="0"/>
                                  <w:divBdr>
                                    <w:top w:val="none" w:sz="0" w:space="0" w:color="auto"/>
                                    <w:left w:val="none" w:sz="0" w:space="0" w:color="auto"/>
                                    <w:bottom w:val="none" w:sz="0" w:space="0" w:color="auto"/>
                                    <w:right w:val="none" w:sz="0" w:space="0" w:color="auto"/>
                                  </w:divBdr>
                                  <w:divsChild>
                                    <w:div w:id="208321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5210155">
      <w:bodyDiv w:val="1"/>
      <w:marLeft w:val="0"/>
      <w:marRight w:val="0"/>
      <w:marTop w:val="0"/>
      <w:marBottom w:val="0"/>
      <w:divBdr>
        <w:top w:val="none" w:sz="0" w:space="0" w:color="auto"/>
        <w:left w:val="none" w:sz="0" w:space="0" w:color="auto"/>
        <w:bottom w:val="none" w:sz="0" w:space="0" w:color="auto"/>
        <w:right w:val="none" w:sz="0" w:space="0" w:color="auto"/>
      </w:divBdr>
    </w:div>
    <w:div w:id="735472266">
      <w:bodyDiv w:val="1"/>
      <w:marLeft w:val="0"/>
      <w:marRight w:val="0"/>
      <w:marTop w:val="0"/>
      <w:marBottom w:val="0"/>
      <w:divBdr>
        <w:top w:val="none" w:sz="0" w:space="0" w:color="auto"/>
        <w:left w:val="none" w:sz="0" w:space="0" w:color="auto"/>
        <w:bottom w:val="none" w:sz="0" w:space="0" w:color="auto"/>
        <w:right w:val="none" w:sz="0" w:space="0" w:color="auto"/>
      </w:divBdr>
    </w:div>
    <w:div w:id="774059151">
      <w:bodyDiv w:val="1"/>
      <w:marLeft w:val="0"/>
      <w:marRight w:val="0"/>
      <w:marTop w:val="0"/>
      <w:marBottom w:val="0"/>
      <w:divBdr>
        <w:top w:val="none" w:sz="0" w:space="0" w:color="auto"/>
        <w:left w:val="none" w:sz="0" w:space="0" w:color="auto"/>
        <w:bottom w:val="none" w:sz="0" w:space="0" w:color="auto"/>
        <w:right w:val="none" w:sz="0" w:space="0" w:color="auto"/>
      </w:divBdr>
    </w:div>
    <w:div w:id="889729016">
      <w:bodyDiv w:val="1"/>
      <w:marLeft w:val="0"/>
      <w:marRight w:val="0"/>
      <w:marTop w:val="0"/>
      <w:marBottom w:val="0"/>
      <w:divBdr>
        <w:top w:val="none" w:sz="0" w:space="0" w:color="auto"/>
        <w:left w:val="none" w:sz="0" w:space="0" w:color="auto"/>
        <w:bottom w:val="none" w:sz="0" w:space="0" w:color="auto"/>
        <w:right w:val="none" w:sz="0" w:space="0" w:color="auto"/>
      </w:divBdr>
      <w:divsChild>
        <w:div w:id="2133934353">
          <w:marLeft w:val="0"/>
          <w:marRight w:val="0"/>
          <w:marTop w:val="0"/>
          <w:marBottom w:val="0"/>
          <w:divBdr>
            <w:top w:val="none" w:sz="0" w:space="0" w:color="auto"/>
            <w:left w:val="none" w:sz="0" w:space="0" w:color="auto"/>
            <w:bottom w:val="none" w:sz="0" w:space="0" w:color="auto"/>
            <w:right w:val="none" w:sz="0" w:space="0" w:color="auto"/>
          </w:divBdr>
          <w:divsChild>
            <w:div w:id="159203669">
              <w:marLeft w:val="0"/>
              <w:marRight w:val="0"/>
              <w:marTop w:val="0"/>
              <w:marBottom w:val="0"/>
              <w:divBdr>
                <w:top w:val="none" w:sz="0" w:space="0" w:color="auto"/>
                <w:left w:val="none" w:sz="0" w:space="0" w:color="auto"/>
                <w:bottom w:val="none" w:sz="0" w:space="0" w:color="auto"/>
                <w:right w:val="none" w:sz="0" w:space="0" w:color="auto"/>
              </w:divBdr>
              <w:divsChild>
                <w:div w:id="267547339">
                  <w:marLeft w:val="0"/>
                  <w:marRight w:val="0"/>
                  <w:marTop w:val="0"/>
                  <w:marBottom w:val="0"/>
                  <w:divBdr>
                    <w:top w:val="none" w:sz="0" w:space="0" w:color="auto"/>
                    <w:left w:val="none" w:sz="0" w:space="0" w:color="auto"/>
                    <w:bottom w:val="none" w:sz="0" w:space="0" w:color="auto"/>
                    <w:right w:val="none" w:sz="0" w:space="0" w:color="auto"/>
                  </w:divBdr>
                  <w:divsChild>
                    <w:div w:id="888539230">
                      <w:marLeft w:val="0"/>
                      <w:marRight w:val="0"/>
                      <w:marTop w:val="0"/>
                      <w:marBottom w:val="0"/>
                      <w:divBdr>
                        <w:top w:val="none" w:sz="0" w:space="0" w:color="auto"/>
                        <w:left w:val="none" w:sz="0" w:space="0" w:color="auto"/>
                        <w:bottom w:val="none" w:sz="0" w:space="0" w:color="auto"/>
                        <w:right w:val="none" w:sz="0" w:space="0" w:color="auto"/>
                      </w:divBdr>
                      <w:divsChild>
                        <w:div w:id="1163744680">
                          <w:marLeft w:val="0"/>
                          <w:marRight w:val="0"/>
                          <w:marTop w:val="0"/>
                          <w:marBottom w:val="0"/>
                          <w:divBdr>
                            <w:top w:val="none" w:sz="0" w:space="0" w:color="auto"/>
                            <w:left w:val="none" w:sz="0" w:space="0" w:color="auto"/>
                            <w:bottom w:val="none" w:sz="0" w:space="0" w:color="auto"/>
                            <w:right w:val="none" w:sz="0" w:space="0" w:color="auto"/>
                          </w:divBdr>
                          <w:divsChild>
                            <w:div w:id="276644794">
                              <w:marLeft w:val="2070"/>
                              <w:marRight w:val="3960"/>
                              <w:marTop w:val="0"/>
                              <w:marBottom w:val="0"/>
                              <w:divBdr>
                                <w:top w:val="none" w:sz="0" w:space="0" w:color="auto"/>
                                <w:left w:val="none" w:sz="0" w:space="0" w:color="auto"/>
                                <w:bottom w:val="none" w:sz="0" w:space="0" w:color="auto"/>
                                <w:right w:val="none" w:sz="0" w:space="0" w:color="auto"/>
                              </w:divBdr>
                              <w:divsChild>
                                <w:div w:id="83303123">
                                  <w:marLeft w:val="0"/>
                                  <w:marRight w:val="0"/>
                                  <w:marTop w:val="0"/>
                                  <w:marBottom w:val="0"/>
                                  <w:divBdr>
                                    <w:top w:val="none" w:sz="0" w:space="0" w:color="auto"/>
                                    <w:left w:val="none" w:sz="0" w:space="0" w:color="auto"/>
                                    <w:bottom w:val="none" w:sz="0" w:space="0" w:color="auto"/>
                                    <w:right w:val="none" w:sz="0" w:space="0" w:color="auto"/>
                                  </w:divBdr>
                                  <w:divsChild>
                                    <w:div w:id="1489520812">
                                      <w:marLeft w:val="0"/>
                                      <w:marRight w:val="0"/>
                                      <w:marTop w:val="0"/>
                                      <w:marBottom w:val="0"/>
                                      <w:divBdr>
                                        <w:top w:val="none" w:sz="0" w:space="0" w:color="auto"/>
                                        <w:left w:val="none" w:sz="0" w:space="0" w:color="auto"/>
                                        <w:bottom w:val="none" w:sz="0" w:space="0" w:color="auto"/>
                                        <w:right w:val="none" w:sz="0" w:space="0" w:color="auto"/>
                                      </w:divBdr>
                                      <w:divsChild>
                                        <w:div w:id="1242518846">
                                          <w:marLeft w:val="0"/>
                                          <w:marRight w:val="0"/>
                                          <w:marTop w:val="0"/>
                                          <w:marBottom w:val="0"/>
                                          <w:divBdr>
                                            <w:top w:val="none" w:sz="0" w:space="0" w:color="auto"/>
                                            <w:left w:val="none" w:sz="0" w:space="0" w:color="auto"/>
                                            <w:bottom w:val="none" w:sz="0" w:space="0" w:color="auto"/>
                                            <w:right w:val="none" w:sz="0" w:space="0" w:color="auto"/>
                                          </w:divBdr>
                                          <w:divsChild>
                                            <w:div w:id="519319794">
                                              <w:marLeft w:val="0"/>
                                              <w:marRight w:val="0"/>
                                              <w:marTop w:val="90"/>
                                              <w:marBottom w:val="0"/>
                                              <w:divBdr>
                                                <w:top w:val="none" w:sz="0" w:space="0" w:color="auto"/>
                                                <w:left w:val="none" w:sz="0" w:space="0" w:color="auto"/>
                                                <w:bottom w:val="none" w:sz="0" w:space="0" w:color="auto"/>
                                                <w:right w:val="none" w:sz="0" w:space="0" w:color="auto"/>
                                              </w:divBdr>
                                              <w:divsChild>
                                                <w:div w:id="1372416925">
                                                  <w:marLeft w:val="0"/>
                                                  <w:marRight w:val="0"/>
                                                  <w:marTop w:val="0"/>
                                                  <w:marBottom w:val="0"/>
                                                  <w:divBdr>
                                                    <w:top w:val="none" w:sz="0" w:space="0" w:color="auto"/>
                                                    <w:left w:val="none" w:sz="0" w:space="0" w:color="auto"/>
                                                    <w:bottom w:val="none" w:sz="0" w:space="0" w:color="auto"/>
                                                    <w:right w:val="none" w:sz="0" w:space="0" w:color="auto"/>
                                                  </w:divBdr>
                                                  <w:divsChild>
                                                    <w:div w:id="1500652572">
                                                      <w:marLeft w:val="0"/>
                                                      <w:marRight w:val="0"/>
                                                      <w:marTop w:val="0"/>
                                                      <w:marBottom w:val="405"/>
                                                      <w:divBdr>
                                                        <w:top w:val="none" w:sz="0" w:space="0" w:color="auto"/>
                                                        <w:left w:val="none" w:sz="0" w:space="0" w:color="auto"/>
                                                        <w:bottom w:val="none" w:sz="0" w:space="0" w:color="auto"/>
                                                        <w:right w:val="none" w:sz="0" w:space="0" w:color="auto"/>
                                                      </w:divBdr>
                                                      <w:divsChild>
                                                        <w:div w:id="1961061089">
                                                          <w:marLeft w:val="0"/>
                                                          <w:marRight w:val="0"/>
                                                          <w:marTop w:val="0"/>
                                                          <w:marBottom w:val="0"/>
                                                          <w:divBdr>
                                                            <w:top w:val="none" w:sz="0" w:space="0" w:color="auto"/>
                                                            <w:left w:val="none" w:sz="0" w:space="0" w:color="auto"/>
                                                            <w:bottom w:val="none" w:sz="0" w:space="0" w:color="auto"/>
                                                            <w:right w:val="none" w:sz="0" w:space="0" w:color="auto"/>
                                                          </w:divBdr>
                                                          <w:divsChild>
                                                            <w:div w:id="1556889167">
                                                              <w:marLeft w:val="0"/>
                                                              <w:marRight w:val="0"/>
                                                              <w:marTop w:val="0"/>
                                                              <w:marBottom w:val="0"/>
                                                              <w:divBdr>
                                                                <w:top w:val="none" w:sz="0" w:space="0" w:color="auto"/>
                                                                <w:left w:val="none" w:sz="0" w:space="0" w:color="auto"/>
                                                                <w:bottom w:val="none" w:sz="0" w:space="0" w:color="auto"/>
                                                                <w:right w:val="none" w:sz="0" w:space="0" w:color="auto"/>
                                                              </w:divBdr>
                                                              <w:divsChild>
                                                                <w:div w:id="396515083">
                                                                  <w:marLeft w:val="0"/>
                                                                  <w:marRight w:val="0"/>
                                                                  <w:marTop w:val="0"/>
                                                                  <w:marBottom w:val="0"/>
                                                                  <w:divBdr>
                                                                    <w:top w:val="none" w:sz="0" w:space="0" w:color="auto"/>
                                                                    <w:left w:val="none" w:sz="0" w:space="0" w:color="auto"/>
                                                                    <w:bottom w:val="none" w:sz="0" w:space="0" w:color="auto"/>
                                                                    <w:right w:val="none" w:sz="0" w:space="0" w:color="auto"/>
                                                                  </w:divBdr>
                                                                  <w:divsChild>
                                                                    <w:div w:id="1430395282">
                                                                      <w:marLeft w:val="0"/>
                                                                      <w:marRight w:val="0"/>
                                                                      <w:marTop w:val="0"/>
                                                                      <w:marBottom w:val="0"/>
                                                                      <w:divBdr>
                                                                        <w:top w:val="none" w:sz="0" w:space="0" w:color="auto"/>
                                                                        <w:left w:val="none" w:sz="0" w:space="0" w:color="auto"/>
                                                                        <w:bottom w:val="none" w:sz="0" w:space="0" w:color="auto"/>
                                                                        <w:right w:val="none" w:sz="0" w:space="0" w:color="auto"/>
                                                                      </w:divBdr>
                                                                      <w:divsChild>
                                                                        <w:div w:id="697046200">
                                                                          <w:marLeft w:val="0"/>
                                                                          <w:marRight w:val="0"/>
                                                                          <w:marTop w:val="0"/>
                                                                          <w:marBottom w:val="0"/>
                                                                          <w:divBdr>
                                                                            <w:top w:val="none" w:sz="0" w:space="0" w:color="auto"/>
                                                                            <w:left w:val="none" w:sz="0" w:space="0" w:color="auto"/>
                                                                            <w:bottom w:val="none" w:sz="0" w:space="0" w:color="auto"/>
                                                                            <w:right w:val="none" w:sz="0" w:space="0" w:color="auto"/>
                                                                          </w:divBdr>
                                                                          <w:divsChild>
                                                                            <w:div w:id="82726138">
                                                                              <w:marLeft w:val="0"/>
                                                                              <w:marRight w:val="0"/>
                                                                              <w:marTop w:val="0"/>
                                                                              <w:marBottom w:val="0"/>
                                                                              <w:divBdr>
                                                                                <w:top w:val="none" w:sz="0" w:space="0" w:color="auto"/>
                                                                                <w:left w:val="none" w:sz="0" w:space="0" w:color="auto"/>
                                                                                <w:bottom w:val="none" w:sz="0" w:space="0" w:color="auto"/>
                                                                                <w:right w:val="none" w:sz="0" w:space="0" w:color="auto"/>
                                                                              </w:divBdr>
                                                                              <w:divsChild>
                                                                                <w:div w:id="718438212">
                                                                                  <w:marLeft w:val="0"/>
                                                                                  <w:marRight w:val="0"/>
                                                                                  <w:marTop w:val="0"/>
                                                                                  <w:marBottom w:val="0"/>
                                                                                  <w:divBdr>
                                                                                    <w:top w:val="none" w:sz="0" w:space="0" w:color="auto"/>
                                                                                    <w:left w:val="none" w:sz="0" w:space="0" w:color="auto"/>
                                                                                    <w:bottom w:val="none" w:sz="0" w:space="0" w:color="auto"/>
                                                                                    <w:right w:val="none" w:sz="0" w:space="0" w:color="auto"/>
                                                                                  </w:divBdr>
                                                                                  <w:divsChild>
                                                                                    <w:div w:id="1613705471">
                                                                                      <w:marLeft w:val="0"/>
                                                                                      <w:marRight w:val="0"/>
                                                                                      <w:marTop w:val="0"/>
                                                                                      <w:marBottom w:val="0"/>
                                                                                      <w:divBdr>
                                                                                        <w:top w:val="none" w:sz="0" w:space="0" w:color="auto"/>
                                                                                        <w:left w:val="none" w:sz="0" w:space="0" w:color="auto"/>
                                                                                        <w:bottom w:val="none" w:sz="0" w:space="0" w:color="auto"/>
                                                                                        <w:right w:val="none" w:sz="0" w:space="0" w:color="auto"/>
                                                                                      </w:divBdr>
                                                                                      <w:divsChild>
                                                                                        <w:div w:id="7938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050754">
      <w:bodyDiv w:val="1"/>
      <w:marLeft w:val="0"/>
      <w:marRight w:val="0"/>
      <w:marTop w:val="0"/>
      <w:marBottom w:val="0"/>
      <w:divBdr>
        <w:top w:val="none" w:sz="0" w:space="0" w:color="auto"/>
        <w:left w:val="none" w:sz="0" w:space="0" w:color="auto"/>
        <w:bottom w:val="none" w:sz="0" w:space="0" w:color="auto"/>
        <w:right w:val="none" w:sz="0" w:space="0" w:color="auto"/>
      </w:divBdr>
    </w:div>
    <w:div w:id="974528613">
      <w:bodyDiv w:val="1"/>
      <w:marLeft w:val="0"/>
      <w:marRight w:val="0"/>
      <w:marTop w:val="0"/>
      <w:marBottom w:val="0"/>
      <w:divBdr>
        <w:top w:val="none" w:sz="0" w:space="0" w:color="auto"/>
        <w:left w:val="none" w:sz="0" w:space="0" w:color="auto"/>
        <w:bottom w:val="none" w:sz="0" w:space="0" w:color="auto"/>
        <w:right w:val="none" w:sz="0" w:space="0" w:color="auto"/>
      </w:divBdr>
    </w:div>
    <w:div w:id="1264652779">
      <w:bodyDiv w:val="1"/>
      <w:marLeft w:val="0"/>
      <w:marRight w:val="0"/>
      <w:marTop w:val="0"/>
      <w:marBottom w:val="0"/>
      <w:divBdr>
        <w:top w:val="none" w:sz="0" w:space="0" w:color="auto"/>
        <w:left w:val="none" w:sz="0" w:space="0" w:color="auto"/>
        <w:bottom w:val="none" w:sz="0" w:space="0" w:color="auto"/>
        <w:right w:val="none" w:sz="0" w:space="0" w:color="auto"/>
      </w:divBdr>
    </w:div>
    <w:div w:id="1465732306">
      <w:bodyDiv w:val="1"/>
      <w:marLeft w:val="0"/>
      <w:marRight w:val="0"/>
      <w:marTop w:val="0"/>
      <w:marBottom w:val="0"/>
      <w:divBdr>
        <w:top w:val="none" w:sz="0" w:space="0" w:color="auto"/>
        <w:left w:val="none" w:sz="0" w:space="0" w:color="auto"/>
        <w:bottom w:val="none" w:sz="0" w:space="0" w:color="auto"/>
        <w:right w:val="none" w:sz="0" w:space="0" w:color="auto"/>
      </w:divBdr>
    </w:div>
    <w:div w:id="1554386707">
      <w:bodyDiv w:val="1"/>
      <w:marLeft w:val="0"/>
      <w:marRight w:val="0"/>
      <w:marTop w:val="0"/>
      <w:marBottom w:val="0"/>
      <w:divBdr>
        <w:top w:val="none" w:sz="0" w:space="0" w:color="auto"/>
        <w:left w:val="none" w:sz="0" w:space="0" w:color="auto"/>
        <w:bottom w:val="none" w:sz="0" w:space="0" w:color="auto"/>
        <w:right w:val="none" w:sz="0" w:space="0" w:color="auto"/>
      </w:divBdr>
    </w:div>
    <w:div w:id="1617328740">
      <w:bodyDiv w:val="1"/>
      <w:marLeft w:val="0"/>
      <w:marRight w:val="0"/>
      <w:marTop w:val="0"/>
      <w:marBottom w:val="0"/>
      <w:divBdr>
        <w:top w:val="none" w:sz="0" w:space="0" w:color="auto"/>
        <w:left w:val="none" w:sz="0" w:space="0" w:color="auto"/>
        <w:bottom w:val="none" w:sz="0" w:space="0" w:color="auto"/>
        <w:right w:val="none" w:sz="0" w:space="0" w:color="auto"/>
      </w:divBdr>
    </w:div>
    <w:div w:id="1726416655">
      <w:bodyDiv w:val="1"/>
      <w:marLeft w:val="0"/>
      <w:marRight w:val="0"/>
      <w:marTop w:val="0"/>
      <w:marBottom w:val="0"/>
      <w:divBdr>
        <w:top w:val="none" w:sz="0" w:space="0" w:color="auto"/>
        <w:left w:val="none" w:sz="0" w:space="0" w:color="auto"/>
        <w:bottom w:val="none" w:sz="0" w:space="0" w:color="auto"/>
        <w:right w:val="none" w:sz="0" w:space="0" w:color="auto"/>
      </w:divBdr>
    </w:div>
    <w:div w:id="1844513252">
      <w:bodyDiv w:val="1"/>
      <w:marLeft w:val="0"/>
      <w:marRight w:val="0"/>
      <w:marTop w:val="0"/>
      <w:marBottom w:val="0"/>
      <w:divBdr>
        <w:top w:val="none" w:sz="0" w:space="0" w:color="auto"/>
        <w:left w:val="none" w:sz="0" w:space="0" w:color="auto"/>
        <w:bottom w:val="none" w:sz="0" w:space="0" w:color="auto"/>
        <w:right w:val="none" w:sz="0" w:space="0" w:color="auto"/>
      </w:divBdr>
    </w:div>
    <w:div w:id="1949383977">
      <w:bodyDiv w:val="1"/>
      <w:marLeft w:val="0"/>
      <w:marRight w:val="0"/>
      <w:marTop w:val="0"/>
      <w:marBottom w:val="0"/>
      <w:divBdr>
        <w:top w:val="none" w:sz="0" w:space="0" w:color="auto"/>
        <w:left w:val="none" w:sz="0" w:space="0" w:color="auto"/>
        <w:bottom w:val="none" w:sz="0" w:space="0" w:color="auto"/>
        <w:right w:val="none" w:sz="0" w:space="0" w:color="auto"/>
      </w:divBdr>
      <w:divsChild>
        <w:div w:id="1272317809">
          <w:marLeft w:val="0"/>
          <w:marRight w:val="0"/>
          <w:marTop w:val="0"/>
          <w:marBottom w:val="0"/>
          <w:divBdr>
            <w:top w:val="none" w:sz="0" w:space="0" w:color="auto"/>
            <w:left w:val="none" w:sz="0" w:space="0" w:color="auto"/>
            <w:bottom w:val="none" w:sz="0" w:space="0" w:color="auto"/>
            <w:right w:val="none" w:sz="0" w:space="0" w:color="auto"/>
          </w:divBdr>
          <w:divsChild>
            <w:div w:id="1786146282">
              <w:marLeft w:val="0"/>
              <w:marRight w:val="0"/>
              <w:marTop w:val="0"/>
              <w:marBottom w:val="0"/>
              <w:divBdr>
                <w:top w:val="none" w:sz="0" w:space="0" w:color="auto"/>
                <w:left w:val="none" w:sz="0" w:space="0" w:color="auto"/>
                <w:bottom w:val="none" w:sz="0" w:space="0" w:color="auto"/>
                <w:right w:val="none" w:sz="0" w:space="0" w:color="auto"/>
              </w:divBdr>
              <w:divsChild>
                <w:div w:id="264117429">
                  <w:marLeft w:val="0"/>
                  <w:marRight w:val="0"/>
                  <w:marTop w:val="0"/>
                  <w:marBottom w:val="0"/>
                  <w:divBdr>
                    <w:top w:val="none" w:sz="0" w:space="0" w:color="auto"/>
                    <w:left w:val="none" w:sz="0" w:space="0" w:color="auto"/>
                    <w:bottom w:val="none" w:sz="0" w:space="0" w:color="auto"/>
                    <w:right w:val="none" w:sz="0" w:space="0" w:color="auto"/>
                  </w:divBdr>
                  <w:divsChild>
                    <w:div w:id="768308820">
                      <w:marLeft w:val="0"/>
                      <w:marRight w:val="0"/>
                      <w:marTop w:val="0"/>
                      <w:marBottom w:val="0"/>
                      <w:divBdr>
                        <w:top w:val="none" w:sz="0" w:space="0" w:color="auto"/>
                        <w:left w:val="none" w:sz="0" w:space="0" w:color="auto"/>
                        <w:bottom w:val="none" w:sz="0" w:space="0" w:color="auto"/>
                        <w:right w:val="none" w:sz="0" w:space="0" w:color="auto"/>
                      </w:divBdr>
                      <w:divsChild>
                        <w:div w:id="686757867">
                          <w:marLeft w:val="0"/>
                          <w:marRight w:val="0"/>
                          <w:marTop w:val="0"/>
                          <w:marBottom w:val="0"/>
                          <w:divBdr>
                            <w:top w:val="none" w:sz="0" w:space="0" w:color="auto"/>
                            <w:left w:val="none" w:sz="0" w:space="0" w:color="auto"/>
                            <w:bottom w:val="none" w:sz="0" w:space="0" w:color="auto"/>
                            <w:right w:val="none" w:sz="0" w:space="0" w:color="auto"/>
                          </w:divBdr>
                          <w:divsChild>
                            <w:div w:id="1400904527">
                              <w:marLeft w:val="0"/>
                              <w:marRight w:val="0"/>
                              <w:marTop w:val="0"/>
                              <w:marBottom w:val="0"/>
                              <w:divBdr>
                                <w:top w:val="none" w:sz="0" w:space="0" w:color="auto"/>
                                <w:left w:val="none" w:sz="0" w:space="0" w:color="auto"/>
                                <w:bottom w:val="none" w:sz="0" w:space="0" w:color="auto"/>
                                <w:right w:val="none" w:sz="0" w:space="0" w:color="auto"/>
                              </w:divBdr>
                              <w:divsChild>
                                <w:div w:id="1764914733">
                                  <w:marLeft w:val="0"/>
                                  <w:marRight w:val="0"/>
                                  <w:marTop w:val="0"/>
                                  <w:marBottom w:val="0"/>
                                  <w:divBdr>
                                    <w:top w:val="none" w:sz="0" w:space="0" w:color="auto"/>
                                    <w:left w:val="none" w:sz="0" w:space="0" w:color="auto"/>
                                    <w:bottom w:val="none" w:sz="0" w:space="0" w:color="auto"/>
                                    <w:right w:val="none" w:sz="0" w:space="0" w:color="auto"/>
                                  </w:divBdr>
                                  <w:divsChild>
                                    <w:div w:id="1112090606">
                                      <w:marLeft w:val="0"/>
                                      <w:marRight w:val="0"/>
                                      <w:marTop w:val="0"/>
                                      <w:marBottom w:val="0"/>
                                      <w:divBdr>
                                        <w:top w:val="none" w:sz="0" w:space="0" w:color="auto"/>
                                        <w:left w:val="none" w:sz="0" w:space="0" w:color="auto"/>
                                        <w:bottom w:val="none" w:sz="0" w:space="0" w:color="auto"/>
                                        <w:right w:val="none" w:sz="0" w:space="0" w:color="auto"/>
                                      </w:divBdr>
                                    </w:div>
                                    <w:div w:id="1177430021">
                                      <w:marLeft w:val="0"/>
                                      <w:marRight w:val="0"/>
                                      <w:marTop w:val="0"/>
                                      <w:marBottom w:val="0"/>
                                      <w:divBdr>
                                        <w:top w:val="none" w:sz="0" w:space="0" w:color="auto"/>
                                        <w:left w:val="none" w:sz="0" w:space="0" w:color="auto"/>
                                        <w:bottom w:val="none" w:sz="0" w:space="0" w:color="auto"/>
                                        <w:right w:val="none" w:sz="0" w:space="0" w:color="auto"/>
                                      </w:divBdr>
                                    </w:div>
                                    <w:div w:id="1560744805">
                                      <w:marLeft w:val="0"/>
                                      <w:marRight w:val="0"/>
                                      <w:marTop w:val="0"/>
                                      <w:marBottom w:val="0"/>
                                      <w:divBdr>
                                        <w:top w:val="none" w:sz="0" w:space="0" w:color="auto"/>
                                        <w:left w:val="none" w:sz="0" w:space="0" w:color="auto"/>
                                        <w:bottom w:val="none" w:sz="0" w:space="0" w:color="auto"/>
                                        <w:right w:val="none" w:sz="0" w:space="0" w:color="auto"/>
                                      </w:divBdr>
                                    </w:div>
                                    <w:div w:id="1976449307">
                                      <w:marLeft w:val="0"/>
                                      <w:marRight w:val="0"/>
                                      <w:marTop w:val="0"/>
                                      <w:marBottom w:val="0"/>
                                      <w:divBdr>
                                        <w:top w:val="none" w:sz="0" w:space="0" w:color="auto"/>
                                        <w:left w:val="none" w:sz="0" w:space="0" w:color="auto"/>
                                        <w:bottom w:val="none" w:sz="0" w:space="0" w:color="auto"/>
                                        <w:right w:val="none" w:sz="0" w:space="0" w:color="auto"/>
                                      </w:divBdr>
                                    </w:div>
                                    <w:div w:id="1994337000">
                                      <w:marLeft w:val="0"/>
                                      <w:marRight w:val="0"/>
                                      <w:marTop w:val="0"/>
                                      <w:marBottom w:val="0"/>
                                      <w:divBdr>
                                        <w:top w:val="none" w:sz="0" w:space="0" w:color="auto"/>
                                        <w:left w:val="none" w:sz="0" w:space="0" w:color="auto"/>
                                        <w:bottom w:val="none" w:sz="0" w:space="0" w:color="auto"/>
                                        <w:right w:val="none" w:sz="0" w:space="0" w:color="auto"/>
                                      </w:divBdr>
                                    </w:div>
                                    <w:div w:id="20702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695765">
      <w:bodyDiv w:val="1"/>
      <w:marLeft w:val="0"/>
      <w:marRight w:val="0"/>
      <w:marTop w:val="0"/>
      <w:marBottom w:val="0"/>
      <w:divBdr>
        <w:top w:val="none" w:sz="0" w:space="0" w:color="auto"/>
        <w:left w:val="none" w:sz="0" w:space="0" w:color="auto"/>
        <w:bottom w:val="none" w:sz="0" w:space="0" w:color="auto"/>
        <w:right w:val="none" w:sz="0" w:space="0" w:color="auto"/>
      </w:divBdr>
      <w:divsChild>
        <w:div w:id="656960763">
          <w:marLeft w:val="0"/>
          <w:marRight w:val="0"/>
          <w:marTop w:val="0"/>
          <w:marBottom w:val="0"/>
          <w:divBdr>
            <w:top w:val="none" w:sz="0" w:space="0" w:color="auto"/>
            <w:left w:val="none" w:sz="0" w:space="0" w:color="auto"/>
            <w:bottom w:val="none" w:sz="0" w:space="0" w:color="auto"/>
            <w:right w:val="none" w:sz="0" w:space="0" w:color="auto"/>
          </w:divBdr>
          <w:divsChild>
            <w:div w:id="1150438319">
              <w:marLeft w:val="0"/>
              <w:marRight w:val="0"/>
              <w:marTop w:val="0"/>
              <w:marBottom w:val="0"/>
              <w:divBdr>
                <w:top w:val="none" w:sz="0" w:space="0" w:color="auto"/>
                <w:left w:val="none" w:sz="0" w:space="0" w:color="auto"/>
                <w:bottom w:val="none" w:sz="0" w:space="0" w:color="auto"/>
                <w:right w:val="none" w:sz="0" w:space="0" w:color="auto"/>
              </w:divBdr>
              <w:divsChild>
                <w:div w:id="842429780">
                  <w:marLeft w:val="0"/>
                  <w:marRight w:val="0"/>
                  <w:marTop w:val="0"/>
                  <w:marBottom w:val="0"/>
                  <w:divBdr>
                    <w:top w:val="none" w:sz="0" w:space="0" w:color="auto"/>
                    <w:left w:val="none" w:sz="0" w:space="0" w:color="auto"/>
                    <w:bottom w:val="none" w:sz="0" w:space="0" w:color="auto"/>
                    <w:right w:val="none" w:sz="0" w:space="0" w:color="auto"/>
                  </w:divBdr>
                  <w:divsChild>
                    <w:div w:id="550844031">
                      <w:marLeft w:val="0"/>
                      <w:marRight w:val="0"/>
                      <w:marTop w:val="0"/>
                      <w:marBottom w:val="0"/>
                      <w:divBdr>
                        <w:top w:val="none" w:sz="0" w:space="0" w:color="auto"/>
                        <w:left w:val="none" w:sz="0" w:space="0" w:color="auto"/>
                        <w:bottom w:val="none" w:sz="0" w:space="0" w:color="auto"/>
                        <w:right w:val="none" w:sz="0" w:space="0" w:color="auto"/>
                      </w:divBdr>
                      <w:divsChild>
                        <w:div w:id="1536111944">
                          <w:marLeft w:val="0"/>
                          <w:marRight w:val="0"/>
                          <w:marTop w:val="0"/>
                          <w:marBottom w:val="0"/>
                          <w:divBdr>
                            <w:top w:val="none" w:sz="0" w:space="0" w:color="auto"/>
                            <w:left w:val="none" w:sz="0" w:space="0" w:color="auto"/>
                            <w:bottom w:val="none" w:sz="0" w:space="0" w:color="auto"/>
                            <w:right w:val="none" w:sz="0" w:space="0" w:color="auto"/>
                          </w:divBdr>
                          <w:divsChild>
                            <w:div w:id="1899976042">
                              <w:marLeft w:val="0"/>
                              <w:marRight w:val="0"/>
                              <w:marTop w:val="0"/>
                              <w:marBottom w:val="0"/>
                              <w:divBdr>
                                <w:top w:val="none" w:sz="0" w:space="0" w:color="auto"/>
                                <w:left w:val="none" w:sz="0" w:space="0" w:color="auto"/>
                                <w:bottom w:val="none" w:sz="0" w:space="0" w:color="auto"/>
                                <w:right w:val="none" w:sz="0" w:space="0" w:color="auto"/>
                              </w:divBdr>
                              <w:divsChild>
                                <w:div w:id="15599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542011">
      <w:bodyDiv w:val="1"/>
      <w:marLeft w:val="0"/>
      <w:marRight w:val="0"/>
      <w:marTop w:val="0"/>
      <w:marBottom w:val="0"/>
      <w:divBdr>
        <w:top w:val="none" w:sz="0" w:space="0" w:color="auto"/>
        <w:left w:val="none" w:sz="0" w:space="0" w:color="auto"/>
        <w:bottom w:val="none" w:sz="0" w:space="0" w:color="auto"/>
        <w:right w:val="none" w:sz="0" w:space="0" w:color="auto"/>
      </w:divBdr>
    </w:div>
    <w:div w:id="2090225924">
      <w:bodyDiv w:val="1"/>
      <w:marLeft w:val="0"/>
      <w:marRight w:val="0"/>
      <w:marTop w:val="0"/>
      <w:marBottom w:val="0"/>
      <w:divBdr>
        <w:top w:val="none" w:sz="0" w:space="0" w:color="auto"/>
        <w:left w:val="none" w:sz="0" w:space="0" w:color="auto"/>
        <w:bottom w:val="none" w:sz="0" w:space="0" w:color="auto"/>
        <w:right w:val="none" w:sz="0" w:space="0" w:color="auto"/>
      </w:divBdr>
      <w:divsChild>
        <w:div w:id="1687175166">
          <w:marLeft w:val="0"/>
          <w:marRight w:val="0"/>
          <w:marTop w:val="0"/>
          <w:marBottom w:val="0"/>
          <w:divBdr>
            <w:top w:val="none" w:sz="0" w:space="0" w:color="auto"/>
            <w:left w:val="none" w:sz="0" w:space="0" w:color="auto"/>
            <w:bottom w:val="none" w:sz="0" w:space="0" w:color="auto"/>
            <w:right w:val="none" w:sz="0" w:space="0" w:color="auto"/>
          </w:divBdr>
          <w:divsChild>
            <w:div w:id="1556771080">
              <w:marLeft w:val="0"/>
              <w:marRight w:val="0"/>
              <w:marTop w:val="0"/>
              <w:marBottom w:val="0"/>
              <w:divBdr>
                <w:top w:val="none" w:sz="0" w:space="0" w:color="auto"/>
                <w:left w:val="none" w:sz="0" w:space="0" w:color="auto"/>
                <w:bottom w:val="none" w:sz="0" w:space="0" w:color="auto"/>
                <w:right w:val="none" w:sz="0" w:space="0" w:color="auto"/>
              </w:divBdr>
              <w:divsChild>
                <w:div w:id="18505267">
                  <w:marLeft w:val="0"/>
                  <w:marRight w:val="0"/>
                  <w:marTop w:val="0"/>
                  <w:marBottom w:val="0"/>
                  <w:divBdr>
                    <w:top w:val="none" w:sz="0" w:space="0" w:color="auto"/>
                    <w:left w:val="none" w:sz="0" w:space="0" w:color="auto"/>
                    <w:bottom w:val="none" w:sz="0" w:space="0" w:color="auto"/>
                    <w:right w:val="none" w:sz="0" w:space="0" w:color="auto"/>
                  </w:divBdr>
                  <w:divsChild>
                    <w:div w:id="539904455">
                      <w:marLeft w:val="0"/>
                      <w:marRight w:val="0"/>
                      <w:marTop w:val="0"/>
                      <w:marBottom w:val="0"/>
                      <w:divBdr>
                        <w:top w:val="none" w:sz="0" w:space="0" w:color="auto"/>
                        <w:left w:val="none" w:sz="0" w:space="0" w:color="auto"/>
                        <w:bottom w:val="none" w:sz="0" w:space="0" w:color="auto"/>
                        <w:right w:val="none" w:sz="0" w:space="0" w:color="auto"/>
                      </w:divBdr>
                      <w:divsChild>
                        <w:div w:id="509611787">
                          <w:marLeft w:val="0"/>
                          <w:marRight w:val="0"/>
                          <w:marTop w:val="0"/>
                          <w:marBottom w:val="0"/>
                          <w:divBdr>
                            <w:top w:val="none" w:sz="0" w:space="0" w:color="auto"/>
                            <w:left w:val="none" w:sz="0" w:space="0" w:color="auto"/>
                            <w:bottom w:val="none" w:sz="0" w:space="0" w:color="auto"/>
                            <w:right w:val="none" w:sz="0" w:space="0" w:color="auto"/>
                          </w:divBdr>
                          <w:divsChild>
                            <w:div w:id="1842350438">
                              <w:marLeft w:val="2070"/>
                              <w:marRight w:val="3960"/>
                              <w:marTop w:val="0"/>
                              <w:marBottom w:val="0"/>
                              <w:divBdr>
                                <w:top w:val="none" w:sz="0" w:space="0" w:color="auto"/>
                                <w:left w:val="none" w:sz="0" w:space="0" w:color="auto"/>
                                <w:bottom w:val="none" w:sz="0" w:space="0" w:color="auto"/>
                                <w:right w:val="none" w:sz="0" w:space="0" w:color="auto"/>
                              </w:divBdr>
                              <w:divsChild>
                                <w:div w:id="666060024">
                                  <w:marLeft w:val="0"/>
                                  <w:marRight w:val="0"/>
                                  <w:marTop w:val="0"/>
                                  <w:marBottom w:val="0"/>
                                  <w:divBdr>
                                    <w:top w:val="none" w:sz="0" w:space="0" w:color="auto"/>
                                    <w:left w:val="none" w:sz="0" w:space="0" w:color="auto"/>
                                    <w:bottom w:val="none" w:sz="0" w:space="0" w:color="auto"/>
                                    <w:right w:val="none" w:sz="0" w:space="0" w:color="auto"/>
                                  </w:divBdr>
                                  <w:divsChild>
                                    <w:div w:id="724526328">
                                      <w:marLeft w:val="0"/>
                                      <w:marRight w:val="0"/>
                                      <w:marTop w:val="0"/>
                                      <w:marBottom w:val="0"/>
                                      <w:divBdr>
                                        <w:top w:val="none" w:sz="0" w:space="0" w:color="auto"/>
                                        <w:left w:val="none" w:sz="0" w:space="0" w:color="auto"/>
                                        <w:bottom w:val="none" w:sz="0" w:space="0" w:color="auto"/>
                                        <w:right w:val="none" w:sz="0" w:space="0" w:color="auto"/>
                                      </w:divBdr>
                                      <w:divsChild>
                                        <w:div w:id="1088959416">
                                          <w:marLeft w:val="0"/>
                                          <w:marRight w:val="0"/>
                                          <w:marTop w:val="0"/>
                                          <w:marBottom w:val="0"/>
                                          <w:divBdr>
                                            <w:top w:val="none" w:sz="0" w:space="0" w:color="auto"/>
                                            <w:left w:val="none" w:sz="0" w:space="0" w:color="auto"/>
                                            <w:bottom w:val="none" w:sz="0" w:space="0" w:color="auto"/>
                                            <w:right w:val="none" w:sz="0" w:space="0" w:color="auto"/>
                                          </w:divBdr>
                                          <w:divsChild>
                                            <w:div w:id="417095268">
                                              <w:marLeft w:val="0"/>
                                              <w:marRight w:val="0"/>
                                              <w:marTop w:val="90"/>
                                              <w:marBottom w:val="0"/>
                                              <w:divBdr>
                                                <w:top w:val="none" w:sz="0" w:space="0" w:color="auto"/>
                                                <w:left w:val="none" w:sz="0" w:space="0" w:color="auto"/>
                                                <w:bottom w:val="none" w:sz="0" w:space="0" w:color="auto"/>
                                                <w:right w:val="none" w:sz="0" w:space="0" w:color="auto"/>
                                              </w:divBdr>
                                              <w:divsChild>
                                                <w:div w:id="646936982">
                                                  <w:marLeft w:val="0"/>
                                                  <w:marRight w:val="0"/>
                                                  <w:marTop w:val="0"/>
                                                  <w:marBottom w:val="0"/>
                                                  <w:divBdr>
                                                    <w:top w:val="none" w:sz="0" w:space="0" w:color="auto"/>
                                                    <w:left w:val="none" w:sz="0" w:space="0" w:color="auto"/>
                                                    <w:bottom w:val="none" w:sz="0" w:space="0" w:color="auto"/>
                                                    <w:right w:val="none" w:sz="0" w:space="0" w:color="auto"/>
                                                  </w:divBdr>
                                                  <w:divsChild>
                                                    <w:div w:id="1761752052">
                                                      <w:marLeft w:val="0"/>
                                                      <w:marRight w:val="0"/>
                                                      <w:marTop w:val="0"/>
                                                      <w:marBottom w:val="405"/>
                                                      <w:divBdr>
                                                        <w:top w:val="none" w:sz="0" w:space="0" w:color="auto"/>
                                                        <w:left w:val="none" w:sz="0" w:space="0" w:color="auto"/>
                                                        <w:bottom w:val="none" w:sz="0" w:space="0" w:color="auto"/>
                                                        <w:right w:val="none" w:sz="0" w:space="0" w:color="auto"/>
                                                      </w:divBdr>
                                                      <w:divsChild>
                                                        <w:div w:id="257908221">
                                                          <w:marLeft w:val="0"/>
                                                          <w:marRight w:val="0"/>
                                                          <w:marTop w:val="0"/>
                                                          <w:marBottom w:val="0"/>
                                                          <w:divBdr>
                                                            <w:top w:val="none" w:sz="0" w:space="0" w:color="auto"/>
                                                            <w:left w:val="none" w:sz="0" w:space="0" w:color="auto"/>
                                                            <w:bottom w:val="none" w:sz="0" w:space="0" w:color="auto"/>
                                                            <w:right w:val="none" w:sz="0" w:space="0" w:color="auto"/>
                                                          </w:divBdr>
                                                          <w:divsChild>
                                                            <w:div w:id="791091452">
                                                              <w:marLeft w:val="0"/>
                                                              <w:marRight w:val="0"/>
                                                              <w:marTop w:val="0"/>
                                                              <w:marBottom w:val="0"/>
                                                              <w:divBdr>
                                                                <w:top w:val="none" w:sz="0" w:space="0" w:color="auto"/>
                                                                <w:left w:val="none" w:sz="0" w:space="0" w:color="auto"/>
                                                                <w:bottom w:val="none" w:sz="0" w:space="0" w:color="auto"/>
                                                                <w:right w:val="none" w:sz="0" w:space="0" w:color="auto"/>
                                                              </w:divBdr>
                                                              <w:divsChild>
                                                                <w:div w:id="1707094898">
                                                                  <w:marLeft w:val="0"/>
                                                                  <w:marRight w:val="0"/>
                                                                  <w:marTop w:val="0"/>
                                                                  <w:marBottom w:val="0"/>
                                                                  <w:divBdr>
                                                                    <w:top w:val="none" w:sz="0" w:space="0" w:color="auto"/>
                                                                    <w:left w:val="none" w:sz="0" w:space="0" w:color="auto"/>
                                                                    <w:bottom w:val="none" w:sz="0" w:space="0" w:color="auto"/>
                                                                    <w:right w:val="none" w:sz="0" w:space="0" w:color="auto"/>
                                                                  </w:divBdr>
                                                                  <w:divsChild>
                                                                    <w:div w:id="1503814859">
                                                                      <w:marLeft w:val="0"/>
                                                                      <w:marRight w:val="0"/>
                                                                      <w:marTop w:val="0"/>
                                                                      <w:marBottom w:val="0"/>
                                                                      <w:divBdr>
                                                                        <w:top w:val="none" w:sz="0" w:space="0" w:color="auto"/>
                                                                        <w:left w:val="none" w:sz="0" w:space="0" w:color="auto"/>
                                                                        <w:bottom w:val="none" w:sz="0" w:space="0" w:color="auto"/>
                                                                        <w:right w:val="none" w:sz="0" w:space="0" w:color="auto"/>
                                                                      </w:divBdr>
                                                                      <w:divsChild>
                                                                        <w:div w:id="1136141086">
                                                                          <w:marLeft w:val="0"/>
                                                                          <w:marRight w:val="0"/>
                                                                          <w:marTop w:val="0"/>
                                                                          <w:marBottom w:val="0"/>
                                                                          <w:divBdr>
                                                                            <w:top w:val="none" w:sz="0" w:space="0" w:color="auto"/>
                                                                            <w:left w:val="none" w:sz="0" w:space="0" w:color="auto"/>
                                                                            <w:bottom w:val="none" w:sz="0" w:space="0" w:color="auto"/>
                                                                            <w:right w:val="none" w:sz="0" w:space="0" w:color="auto"/>
                                                                          </w:divBdr>
                                                                          <w:divsChild>
                                                                            <w:div w:id="816606047">
                                                                              <w:marLeft w:val="0"/>
                                                                              <w:marRight w:val="0"/>
                                                                              <w:marTop w:val="0"/>
                                                                              <w:marBottom w:val="0"/>
                                                                              <w:divBdr>
                                                                                <w:top w:val="none" w:sz="0" w:space="0" w:color="auto"/>
                                                                                <w:left w:val="none" w:sz="0" w:space="0" w:color="auto"/>
                                                                                <w:bottom w:val="none" w:sz="0" w:space="0" w:color="auto"/>
                                                                                <w:right w:val="none" w:sz="0" w:space="0" w:color="auto"/>
                                                                              </w:divBdr>
                                                                              <w:divsChild>
                                                                                <w:div w:id="1450470769">
                                                                                  <w:marLeft w:val="0"/>
                                                                                  <w:marRight w:val="0"/>
                                                                                  <w:marTop w:val="0"/>
                                                                                  <w:marBottom w:val="0"/>
                                                                                  <w:divBdr>
                                                                                    <w:top w:val="none" w:sz="0" w:space="0" w:color="auto"/>
                                                                                    <w:left w:val="none" w:sz="0" w:space="0" w:color="auto"/>
                                                                                    <w:bottom w:val="none" w:sz="0" w:space="0" w:color="auto"/>
                                                                                    <w:right w:val="none" w:sz="0" w:space="0" w:color="auto"/>
                                                                                  </w:divBdr>
                                                                                  <w:divsChild>
                                                                                    <w:div w:id="1709573853">
                                                                                      <w:marLeft w:val="0"/>
                                                                                      <w:marRight w:val="0"/>
                                                                                      <w:marTop w:val="0"/>
                                                                                      <w:marBottom w:val="0"/>
                                                                                      <w:divBdr>
                                                                                        <w:top w:val="none" w:sz="0" w:space="0" w:color="auto"/>
                                                                                        <w:left w:val="none" w:sz="0" w:space="0" w:color="auto"/>
                                                                                        <w:bottom w:val="none" w:sz="0" w:space="0" w:color="auto"/>
                                                                                        <w:right w:val="none" w:sz="0" w:space="0" w:color="auto"/>
                                                                                      </w:divBdr>
                                                                                      <w:divsChild>
                                                                                        <w:div w:id="18940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3727">
      <w:bodyDiv w:val="1"/>
      <w:marLeft w:val="0"/>
      <w:marRight w:val="0"/>
      <w:marTop w:val="0"/>
      <w:marBottom w:val="0"/>
      <w:divBdr>
        <w:top w:val="none" w:sz="0" w:space="0" w:color="auto"/>
        <w:left w:val="none" w:sz="0" w:space="0" w:color="auto"/>
        <w:bottom w:val="none" w:sz="0" w:space="0" w:color="auto"/>
        <w:right w:val="none" w:sz="0" w:space="0" w:color="auto"/>
      </w:divBdr>
    </w:div>
    <w:div w:id="21249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and@glandpharm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harmacovigilance@rogerspharma.k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ffice.secretary@rogersgroup.in" TargetMode="External"/><Relationship Id="rId4" Type="http://schemas.openxmlformats.org/officeDocument/2006/relationships/webSettings" Target="webSettings.xml"/><Relationship Id="rId9" Type="http://schemas.openxmlformats.org/officeDocument/2006/relationships/hyperlink" Target="mailto:office.secretary@rogersgroup.in"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22</Pages>
  <Words>6855</Words>
  <Characters>39074</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 утверждении Правил по составлению текста</vt:lpstr>
      <vt:lpstr>Об утверждении Правил по составлению текста</vt:lpstr>
    </vt:vector>
  </TitlesOfParts>
  <Company>Dari-Darmek</Company>
  <LinksUpToDate>false</LinksUpToDate>
  <CharactersWithSpaces>45838</CharactersWithSpaces>
  <SharedDoc>false</SharedDoc>
  <HLinks>
    <vt:vector size="12" baseType="variant">
      <vt:variant>
        <vt:i4>1507383</vt:i4>
      </vt:variant>
      <vt:variant>
        <vt:i4>3</vt:i4>
      </vt:variant>
      <vt:variant>
        <vt:i4>0</vt:i4>
      </vt:variant>
      <vt:variant>
        <vt:i4>5</vt:i4>
      </vt:variant>
      <vt:variant>
        <vt:lpwstr>mailto:gland@glandpharma.com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Правил по составлению текста</dc:title>
  <dc:creator>user</dc:creator>
  <cp:lastModifiedBy>Praveen Kanumuru</cp:lastModifiedBy>
  <cp:revision>37</cp:revision>
  <cp:lastPrinted>2014-02-20T11:42:00Z</cp:lastPrinted>
  <dcterms:created xsi:type="dcterms:W3CDTF">2020-05-20T06:26:00Z</dcterms:created>
  <dcterms:modified xsi:type="dcterms:W3CDTF">2025-05-14T12:40:00Z</dcterms:modified>
</cp:coreProperties>
</file>